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E/>
        <w:autoSpaceDN/>
        <w:bidi w:val="0"/>
        <w:spacing w:line="560" w:lineRule="exact"/>
        <w:jc w:val="center"/>
        <w:rPr>
          <w:rStyle w:val="17"/>
          <w:rFonts w:ascii="方正小标宋简体" w:eastAsia="方正小标宋简体"/>
          <w:b/>
          <w:sz w:val="36"/>
          <w:szCs w:val="36"/>
        </w:rPr>
      </w:pPr>
    </w:p>
    <w:p>
      <w:pPr>
        <w:keepLines w:val="0"/>
        <w:pageBreakBefore w:val="0"/>
        <w:kinsoku/>
        <w:wordWrap/>
        <w:overflowPunct/>
        <w:topLinePunct w:val="0"/>
        <w:autoSpaceDE/>
        <w:autoSpaceDN/>
        <w:bidi w:val="0"/>
        <w:spacing w:line="560" w:lineRule="exact"/>
        <w:jc w:val="center"/>
        <w:rPr>
          <w:rStyle w:val="17"/>
          <w:rFonts w:ascii="方正小标宋简体" w:eastAsia="方正小标宋简体"/>
          <w:b/>
          <w:sz w:val="36"/>
          <w:szCs w:val="36"/>
        </w:rPr>
      </w:pPr>
    </w:p>
    <w:p>
      <w:pPr>
        <w:keepLines w:val="0"/>
        <w:pageBreakBefore w:val="0"/>
        <w:kinsoku/>
        <w:wordWrap/>
        <w:overflowPunct/>
        <w:topLinePunct w:val="0"/>
        <w:autoSpaceDE/>
        <w:autoSpaceDN/>
        <w:bidi w:val="0"/>
        <w:spacing w:line="560" w:lineRule="exact"/>
        <w:jc w:val="center"/>
        <w:rPr>
          <w:rStyle w:val="17"/>
          <w:rFonts w:hint="eastAsia" w:ascii="方正小标宋简体" w:eastAsia="方正小标宋简体"/>
          <w:b/>
          <w:sz w:val="44"/>
          <w:szCs w:val="44"/>
        </w:rPr>
      </w:pPr>
      <w:r>
        <w:rPr>
          <w:rStyle w:val="17"/>
          <w:rFonts w:hint="eastAsia" w:ascii="方正小标宋简体" w:eastAsia="方正小标宋简体"/>
          <w:b/>
          <w:sz w:val="44"/>
          <w:szCs w:val="44"/>
        </w:rPr>
        <w:t>汕尾市</w:t>
      </w:r>
      <w:r>
        <w:rPr>
          <w:rStyle w:val="17"/>
          <w:rFonts w:hint="eastAsia" w:ascii="方正小标宋简体" w:eastAsia="方正小标宋简体"/>
          <w:b/>
          <w:sz w:val="44"/>
          <w:szCs w:val="44"/>
          <w:lang w:eastAsia="zh-CN"/>
        </w:rPr>
        <w:t>城区</w:t>
      </w:r>
      <w:r>
        <w:rPr>
          <w:rStyle w:val="17"/>
          <w:rFonts w:hint="eastAsia" w:ascii="方正小标宋简体" w:eastAsia="方正小标宋简体"/>
          <w:b/>
          <w:sz w:val="44"/>
          <w:szCs w:val="44"/>
        </w:rPr>
        <w:t>人力资源和社会保障事业发展</w:t>
      </w:r>
    </w:p>
    <w:p>
      <w:pPr>
        <w:keepLines w:val="0"/>
        <w:pageBreakBefore w:val="0"/>
        <w:kinsoku/>
        <w:wordWrap/>
        <w:overflowPunct/>
        <w:topLinePunct w:val="0"/>
        <w:autoSpaceDE/>
        <w:autoSpaceDN/>
        <w:bidi w:val="0"/>
        <w:spacing w:line="560" w:lineRule="exact"/>
        <w:jc w:val="center"/>
        <w:rPr>
          <w:rStyle w:val="17"/>
          <w:rFonts w:ascii="方正小标宋简体" w:eastAsia="方正小标宋简体"/>
          <w:b/>
          <w:sz w:val="44"/>
          <w:szCs w:val="44"/>
        </w:rPr>
      </w:pPr>
      <w:r>
        <w:rPr>
          <w:rStyle w:val="17"/>
          <w:rFonts w:hint="eastAsia" w:ascii="方正小标宋简体" w:eastAsia="方正小标宋简体"/>
          <w:b/>
          <w:sz w:val="44"/>
          <w:szCs w:val="44"/>
        </w:rPr>
        <w:t>“十四五”规划</w:t>
      </w:r>
    </w:p>
    <w:p>
      <w:pPr>
        <w:keepLines w:val="0"/>
        <w:pageBreakBefore w:val="0"/>
        <w:kinsoku/>
        <w:wordWrap/>
        <w:overflowPunct/>
        <w:topLinePunct w:val="0"/>
        <w:autoSpaceDE/>
        <w:autoSpaceDN/>
        <w:bidi w:val="0"/>
        <w:spacing w:line="560" w:lineRule="exact"/>
        <w:jc w:val="center"/>
        <w:rPr>
          <w:rFonts w:ascii="楷体_GB2312" w:eastAsia="楷体_GB2312"/>
          <w:bCs/>
          <w:kern w:val="0"/>
          <w:sz w:val="44"/>
          <w:szCs w:val="44"/>
        </w:rPr>
      </w:pPr>
      <w:r>
        <w:rPr>
          <w:rFonts w:hint="eastAsia" w:ascii="楷体_GB2312" w:eastAsia="楷体_GB2312"/>
          <w:bCs/>
          <w:sz w:val="44"/>
          <w:szCs w:val="44"/>
        </w:rPr>
        <w:t>（初稿）</w:t>
      </w:r>
    </w:p>
    <w:p>
      <w:pPr>
        <w:keepLines w:val="0"/>
        <w:pageBreakBefore w:val="0"/>
        <w:kinsoku/>
        <w:wordWrap/>
        <w:overflowPunct/>
        <w:topLinePunct w:val="0"/>
        <w:autoSpaceDE/>
        <w:autoSpaceDN/>
        <w:bidi w:val="0"/>
        <w:spacing w:line="560" w:lineRule="exact"/>
        <w:rPr>
          <w:rStyle w:val="17"/>
          <w:rFonts w:ascii="仿宋_GB2312" w:hAnsi="仿宋" w:eastAsia="仿宋_GB2312" w:cs="仿宋"/>
          <w:bCs/>
          <w:color w:val="FF0000"/>
          <w:sz w:val="32"/>
          <w:szCs w:val="32"/>
        </w:rPr>
      </w:pPr>
    </w:p>
    <w:p>
      <w:pPr>
        <w:keepLines w:val="0"/>
        <w:pageBreakBefore w:val="0"/>
        <w:kinsoku/>
        <w:wordWrap/>
        <w:overflowPunct/>
        <w:topLinePunct w:val="0"/>
        <w:autoSpaceDE/>
        <w:autoSpaceDN/>
        <w:bidi w:val="0"/>
        <w:spacing w:line="560" w:lineRule="exact"/>
        <w:rPr>
          <w:rStyle w:val="17"/>
          <w:rFonts w:ascii="仿宋_GB2312" w:hAnsi="仿宋" w:eastAsia="仿宋_GB2312" w:cs="仿宋"/>
          <w:bCs/>
          <w:color w:val="FF0000"/>
          <w:sz w:val="32"/>
          <w:szCs w:val="32"/>
        </w:rPr>
      </w:pPr>
    </w:p>
    <w:p>
      <w:pPr>
        <w:keepLines w:val="0"/>
        <w:pageBreakBefore w:val="0"/>
        <w:kinsoku/>
        <w:wordWrap/>
        <w:overflowPunct/>
        <w:topLinePunct w:val="0"/>
        <w:autoSpaceDE/>
        <w:autoSpaceDN/>
        <w:bidi w:val="0"/>
        <w:spacing w:line="560" w:lineRule="exact"/>
        <w:rPr>
          <w:rStyle w:val="17"/>
          <w:rFonts w:ascii="仿宋_GB2312" w:hAnsi="仿宋" w:eastAsia="仿宋_GB2312" w:cs="仿宋"/>
          <w:bCs/>
          <w:color w:val="FF0000"/>
          <w:sz w:val="32"/>
          <w:szCs w:val="32"/>
        </w:rPr>
      </w:pPr>
    </w:p>
    <w:p>
      <w:pPr>
        <w:keepLines w:val="0"/>
        <w:pageBreakBefore w:val="0"/>
        <w:kinsoku/>
        <w:wordWrap/>
        <w:overflowPunct/>
        <w:topLinePunct w:val="0"/>
        <w:autoSpaceDE/>
        <w:autoSpaceDN/>
        <w:bidi w:val="0"/>
        <w:spacing w:line="560" w:lineRule="exact"/>
        <w:rPr>
          <w:rStyle w:val="17"/>
          <w:rFonts w:ascii="仿宋_GB2312" w:hAnsi="仿宋" w:eastAsia="仿宋_GB2312" w:cs="仿宋"/>
          <w:bCs/>
          <w:color w:val="FF0000"/>
          <w:sz w:val="32"/>
          <w:szCs w:val="32"/>
        </w:rPr>
      </w:pPr>
    </w:p>
    <w:p>
      <w:pPr>
        <w:keepLines w:val="0"/>
        <w:pageBreakBefore w:val="0"/>
        <w:kinsoku/>
        <w:wordWrap/>
        <w:overflowPunct/>
        <w:topLinePunct w:val="0"/>
        <w:autoSpaceDE/>
        <w:autoSpaceDN/>
        <w:bidi w:val="0"/>
        <w:spacing w:line="560" w:lineRule="exact"/>
        <w:rPr>
          <w:rStyle w:val="17"/>
          <w:rFonts w:ascii="仿宋_GB2312" w:hAnsi="仿宋" w:eastAsia="仿宋_GB2312" w:cs="仿宋"/>
          <w:bCs/>
          <w:color w:val="FF0000"/>
          <w:sz w:val="32"/>
          <w:szCs w:val="32"/>
        </w:rPr>
      </w:pPr>
    </w:p>
    <w:p>
      <w:pPr>
        <w:keepLines w:val="0"/>
        <w:pageBreakBefore w:val="0"/>
        <w:kinsoku/>
        <w:wordWrap/>
        <w:overflowPunct/>
        <w:topLinePunct w:val="0"/>
        <w:autoSpaceDE/>
        <w:autoSpaceDN/>
        <w:bidi w:val="0"/>
        <w:spacing w:line="560" w:lineRule="exact"/>
        <w:rPr>
          <w:rStyle w:val="17"/>
          <w:rFonts w:ascii="仿宋_GB2312" w:hAnsi="仿宋" w:eastAsia="仿宋_GB2312" w:cs="仿宋"/>
          <w:bCs/>
          <w:color w:val="FF0000"/>
          <w:sz w:val="32"/>
          <w:szCs w:val="32"/>
        </w:rPr>
      </w:pPr>
    </w:p>
    <w:p>
      <w:pPr>
        <w:keepLines w:val="0"/>
        <w:pageBreakBefore w:val="0"/>
        <w:kinsoku/>
        <w:wordWrap/>
        <w:overflowPunct/>
        <w:topLinePunct w:val="0"/>
        <w:autoSpaceDE/>
        <w:autoSpaceDN/>
        <w:bidi w:val="0"/>
        <w:spacing w:line="560" w:lineRule="exact"/>
        <w:rPr>
          <w:rStyle w:val="17"/>
          <w:rFonts w:ascii="仿宋_GB2312" w:hAnsi="仿宋" w:eastAsia="仿宋_GB2312" w:cs="仿宋"/>
          <w:bCs/>
          <w:color w:val="FF0000"/>
          <w:sz w:val="32"/>
          <w:szCs w:val="32"/>
        </w:rPr>
      </w:pPr>
    </w:p>
    <w:p>
      <w:pPr>
        <w:keepLines w:val="0"/>
        <w:pageBreakBefore w:val="0"/>
        <w:kinsoku/>
        <w:wordWrap/>
        <w:overflowPunct/>
        <w:topLinePunct w:val="0"/>
        <w:autoSpaceDE/>
        <w:autoSpaceDN/>
        <w:bidi w:val="0"/>
        <w:spacing w:line="560" w:lineRule="exact"/>
        <w:rPr>
          <w:rStyle w:val="17"/>
          <w:rFonts w:ascii="仿宋_GB2312" w:hAnsi="仿宋" w:eastAsia="仿宋_GB2312" w:cs="仿宋"/>
          <w:bCs/>
          <w:color w:val="FF0000"/>
          <w:sz w:val="32"/>
          <w:szCs w:val="32"/>
        </w:rPr>
      </w:pPr>
    </w:p>
    <w:p>
      <w:pPr>
        <w:keepLines w:val="0"/>
        <w:pageBreakBefore w:val="0"/>
        <w:kinsoku/>
        <w:wordWrap/>
        <w:overflowPunct/>
        <w:topLinePunct w:val="0"/>
        <w:autoSpaceDE/>
        <w:autoSpaceDN/>
        <w:bidi w:val="0"/>
        <w:spacing w:line="560" w:lineRule="exact"/>
        <w:rPr>
          <w:rStyle w:val="17"/>
          <w:rFonts w:ascii="仿宋_GB2312" w:hAnsi="仿宋" w:eastAsia="仿宋_GB2312" w:cs="仿宋"/>
          <w:bCs/>
          <w:color w:val="FF0000"/>
          <w:sz w:val="32"/>
          <w:szCs w:val="32"/>
        </w:rPr>
      </w:pPr>
    </w:p>
    <w:p>
      <w:pPr>
        <w:keepLines w:val="0"/>
        <w:pageBreakBefore w:val="0"/>
        <w:kinsoku/>
        <w:wordWrap/>
        <w:overflowPunct/>
        <w:topLinePunct w:val="0"/>
        <w:autoSpaceDE/>
        <w:autoSpaceDN/>
        <w:bidi w:val="0"/>
        <w:spacing w:line="560" w:lineRule="exact"/>
        <w:rPr>
          <w:rStyle w:val="17"/>
          <w:rFonts w:ascii="仿宋_GB2312" w:hAnsi="仿宋" w:eastAsia="仿宋_GB2312" w:cs="仿宋"/>
          <w:bCs/>
          <w:color w:val="FF0000"/>
          <w:sz w:val="32"/>
          <w:szCs w:val="32"/>
        </w:rPr>
      </w:pPr>
    </w:p>
    <w:p>
      <w:pPr>
        <w:keepLines w:val="0"/>
        <w:pageBreakBefore w:val="0"/>
        <w:kinsoku/>
        <w:wordWrap/>
        <w:overflowPunct/>
        <w:topLinePunct w:val="0"/>
        <w:autoSpaceDE/>
        <w:autoSpaceDN/>
        <w:bidi w:val="0"/>
        <w:spacing w:line="560" w:lineRule="exact"/>
        <w:rPr>
          <w:rStyle w:val="17"/>
          <w:rFonts w:ascii="仿宋_GB2312" w:hAnsi="仿宋" w:eastAsia="仿宋_GB2312" w:cs="仿宋"/>
          <w:bCs/>
          <w:color w:val="FF0000"/>
          <w:sz w:val="32"/>
          <w:szCs w:val="32"/>
        </w:rPr>
      </w:pPr>
    </w:p>
    <w:p>
      <w:pPr>
        <w:keepLines w:val="0"/>
        <w:pageBreakBefore w:val="0"/>
        <w:kinsoku/>
        <w:wordWrap/>
        <w:overflowPunct/>
        <w:topLinePunct w:val="0"/>
        <w:autoSpaceDE/>
        <w:autoSpaceDN/>
        <w:bidi w:val="0"/>
        <w:spacing w:line="560" w:lineRule="exact"/>
        <w:rPr>
          <w:rStyle w:val="17"/>
          <w:rFonts w:ascii="仿宋_GB2312" w:hAnsi="仿宋" w:eastAsia="仿宋_GB2312" w:cs="仿宋"/>
          <w:bCs/>
          <w:color w:val="FF0000"/>
          <w:sz w:val="32"/>
          <w:szCs w:val="32"/>
        </w:rPr>
      </w:pPr>
    </w:p>
    <w:p>
      <w:pPr>
        <w:keepLines w:val="0"/>
        <w:pageBreakBefore w:val="0"/>
        <w:kinsoku/>
        <w:wordWrap/>
        <w:overflowPunct/>
        <w:topLinePunct w:val="0"/>
        <w:autoSpaceDE/>
        <w:autoSpaceDN/>
        <w:bidi w:val="0"/>
        <w:spacing w:line="560" w:lineRule="exact"/>
        <w:rPr>
          <w:rStyle w:val="17"/>
          <w:rFonts w:ascii="仿宋_GB2312" w:hAnsi="仿宋" w:eastAsia="仿宋_GB2312" w:cs="仿宋"/>
          <w:bCs/>
          <w:color w:val="FF0000"/>
          <w:sz w:val="32"/>
          <w:szCs w:val="32"/>
        </w:rPr>
      </w:pPr>
    </w:p>
    <w:p>
      <w:pPr>
        <w:keepLines w:val="0"/>
        <w:pageBreakBefore w:val="0"/>
        <w:kinsoku/>
        <w:wordWrap/>
        <w:overflowPunct/>
        <w:topLinePunct w:val="0"/>
        <w:autoSpaceDE/>
        <w:autoSpaceDN/>
        <w:bidi w:val="0"/>
        <w:spacing w:line="560" w:lineRule="exact"/>
        <w:rPr>
          <w:rStyle w:val="17"/>
          <w:rFonts w:ascii="仿宋_GB2312" w:hAnsi="仿宋" w:eastAsia="仿宋_GB2312" w:cs="仿宋"/>
          <w:bCs/>
          <w:color w:val="FF0000"/>
          <w:sz w:val="32"/>
          <w:szCs w:val="32"/>
        </w:rPr>
      </w:pPr>
    </w:p>
    <w:p>
      <w:pPr>
        <w:keepLines w:val="0"/>
        <w:pageBreakBefore w:val="0"/>
        <w:kinsoku/>
        <w:wordWrap/>
        <w:overflowPunct/>
        <w:topLinePunct w:val="0"/>
        <w:autoSpaceDE/>
        <w:autoSpaceDN/>
        <w:bidi w:val="0"/>
        <w:spacing w:line="560" w:lineRule="exact"/>
        <w:rPr>
          <w:rStyle w:val="17"/>
          <w:rFonts w:ascii="仿宋_GB2312" w:hAnsi="仿宋" w:eastAsia="仿宋_GB2312" w:cs="仿宋"/>
          <w:bCs/>
          <w:color w:val="FF0000"/>
          <w:sz w:val="32"/>
          <w:szCs w:val="32"/>
        </w:rPr>
      </w:pPr>
    </w:p>
    <w:p>
      <w:pPr>
        <w:keepLines w:val="0"/>
        <w:pageBreakBefore w:val="0"/>
        <w:kinsoku/>
        <w:wordWrap/>
        <w:overflowPunct/>
        <w:topLinePunct w:val="0"/>
        <w:autoSpaceDE/>
        <w:autoSpaceDN/>
        <w:bidi w:val="0"/>
        <w:adjustRightInd w:val="0"/>
        <w:spacing w:line="560" w:lineRule="exact"/>
        <w:jc w:val="center"/>
        <w:rPr>
          <w:rFonts w:eastAsia="黑体"/>
          <w:sz w:val="36"/>
          <w:szCs w:val="36"/>
        </w:rPr>
      </w:pPr>
      <w:r>
        <w:rPr>
          <w:rFonts w:hint="eastAsia" w:eastAsia="黑体"/>
          <w:sz w:val="36"/>
          <w:szCs w:val="36"/>
        </w:rPr>
        <w:t>汕尾市</w:t>
      </w:r>
      <w:r>
        <w:rPr>
          <w:rFonts w:hint="eastAsia" w:eastAsia="黑体"/>
          <w:sz w:val="36"/>
          <w:szCs w:val="36"/>
          <w:lang w:eastAsia="zh-CN"/>
        </w:rPr>
        <w:t>城区</w:t>
      </w:r>
      <w:r>
        <w:rPr>
          <w:rFonts w:hint="eastAsia" w:eastAsia="黑体"/>
          <w:sz w:val="36"/>
          <w:szCs w:val="36"/>
        </w:rPr>
        <w:t>人力资源和社会保障局</w:t>
      </w:r>
    </w:p>
    <w:p>
      <w:pPr>
        <w:keepLines w:val="0"/>
        <w:pageBreakBefore w:val="0"/>
        <w:kinsoku/>
        <w:wordWrap/>
        <w:overflowPunct/>
        <w:topLinePunct w:val="0"/>
        <w:autoSpaceDE/>
        <w:autoSpaceDN/>
        <w:bidi w:val="0"/>
        <w:adjustRightInd w:val="0"/>
        <w:spacing w:line="560" w:lineRule="exact"/>
        <w:jc w:val="center"/>
        <w:rPr>
          <w:rFonts w:eastAsia="黑体"/>
          <w:sz w:val="36"/>
          <w:szCs w:val="36"/>
        </w:rPr>
      </w:pPr>
      <w:r>
        <w:rPr>
          <w:rFonts w:eastAsia="黑体"/>
          <w:sz w:val="36"/>
          <w:szCs w:val="36"/>
        </w:rPr>
        <w:t>二〇二</w:t>
      </w:r>
      <w:r>
        <w:rPr>
          <w:rFonts w:hint="eastAsia" w:eastAsia="黑体"/>
          <w:sz w:val="36"/>
          <w:szCs w:val="36"/>
          <w:lang w:eastAsia="zh-CN"/>
        </w:rPr>
        <w:t>二</w:t>
      </w:r>
      <w:r>
        <w:rPr>
          <w:rFonts w:eastAsia="黑体"/>
          <w:sz w:val="36"/>
          <w:szCs w:val="36"/>
        </w:rPr>
        <w:t>年</w:t>
      </w:r>
      <w:r>
        <w:rPr>
          <w:rFonts w:hint="eastAsia" w:eastAsia="黑体"/>
          <w:sz w:val="36"/>
          <w:szCs w:val="36"/>
          <w:lang w:eastAsia="zh-CN"/>
        </w:rPr>
        <w:t>三</w:t>
      </w:r>
      <w:r>
        <w:rPr>
          <w:rFonts w:eastAsia="黑体"/>
          <w:sz w:val="36"/>
          <w:szCs w:val="36"/>
        </w:rPr>
        <w:t>月</w:t>
      </w:r>
    </w:p>
    <w:p>
      <w:pPr>
        <w:keepLines w:val="0"/>
        <w:pageBreakBefore w:val="0"/>
        <w:kinsoku/>
        <w:wordWrap/>
        <w:overflowPunct/>
        <w:topLinePunct w:val="0"/>
        <w:autoSpaceDE/>
        <w:autoSpaceDN/>
        <w:bidi w:val="0"/>
        <w:spacing w:line="560" w:lineRule="exact"/>
        <w:rPr>
          <w:rFonts w:ascii="方正小标宋简体" w:eastAsia="方正小标宋简体"/>
          <w:b/>
          <w:sz w:val="44"/>
          <w:szCs w:val="44"/>
        </w:rPr>
        <w:sectPr>
          <w:footerReference r:id="rId3" w:type="default"/>
          <w:pgSz w:w="12240" w:h="15840"/>
          <w:pgMar w:top="1440" w:right="1800" w:bottom="1440" w:left="1800" w:header="720" w:footer="720" w:gutter="0"/>
          <w:pgNumType w:start="1"/>
          <w:cols w:space="720" w:num="1"/>
          <w:titlePg/>
          <w:docGrid w:linePitch="286" w:charSpace="0"/>
        </w:sectPr>
      </w:pPr>
    </w:p>
    <w:p>
      <w:pPr>
        <w:keepLines w:val="0"/>
        <w:pageBreakBefore w:val="0"/>
        <w:kinsoku/>
        <w:wordWrap/>
        <w:overflowPunct/>
        <w:topLinePunct w:val="0"/>
        <w:autoSpaceDE/>
        <w:autoSpaceDN/>
        <w:bidi w:val="0"/>
        <w:adjustRightInd w:val="0"/>
        <w:snapToGrid w:val="0"/>
        <w:spacing w:line="560" w:lineRule="exact"/>
        <w:rPr>
          <w:rStyle w:val="17"/>
          <w:rFonts w:ascii="仿宋_GB2312" w:hAnsi="仿宋" w:eastAsia="仿宋_GB2312" w:cs="仿宋"/>
          <w:bCs/>
          <w:sz w:val="32"/>
          <w:szCs w:val="32"/>
        </w:rPr>
      </w:pPr>
    </w:p>
    <w:p>
      <w:pPr>
        <w:keepLines w:val="0"/>
        <w:pageBreakBefore w:val="0"/>
        <w:kinsoku/>
        <w:wordWrap/>
        <w:overflowPunct/>
        <w:topLinePunct w:val="0"/>
        <w:autoSpaceDE/>
        <w:autoSpaceDN/>
        <w:bidi w:val="0"/>
        <w:adjustRightInd w:val="0"/>
        <w:snapToGrid w:val="0"/>
        <w:spacing w:line="560" w:lineRule="exact"/>
        <w:jc w:val="center"/>
        <w:rPr>
          <w:rStyle w:val="17"/>
          <w:rFonts w:ascii="仿宋_GB2312" w:hAnsi="仿宋" w:eastAsia="仿宋_GB2312" w:cs="仿宋"/>
          <w:bCs/>
          <w:sz w:val="32"/>
          <w:szCs w:val="32"/>
        </w:rPr>
      </w:pPr>
      <w:r>
        <w:rPr>
          <w:rFonts w:hint="eastAsia" w:ascii="方正小标宋简体" w:eastAsia="方正小标宋简体"/>
          <w:b/>
          <w:sz w:val="44"/>
          <w:szCs w:val="44"/>
        </w:rPr>
        <w:t>目 录</w:t>
      </w:r>
    </w:p>
    <w:p>
      <w:pPr>
        <w:pStyle w:val="10"/>
        <w:tabs>
          <w:tab w:val="right" w:leader="dot" w:pos="8640"/>
        </w:tabs>
      </w:pPr>
      <w:r>
        <w:rPr>
          <w:rStyle w:val="17"/>
          <w:rFonts w:hint="eastAsia" w:ascii="黑体" w:hAnsi="黑体" w:eastAsia="黑体" w:cs="黑体"/>
          <w:bCs/>
          <w:sz w:val="32"/>
          <w:szCs w:val="32"/>
        </w:rPr>
        <w:fldChar w:fldCharType="begin"/>
      </w:r>
      <w:r>
        <w:rPr>
          <w:rStyle w:val="17"/>
          <w:rFonts w:hint="eastAsia" w:ascii="黑体" w:hAnsi="黑体" w:eastAsia="黑体" w:cs="黑体"/>
          <w:bCs/>
          <w:sz w:val="32"/>
          <w:szCs w:val="32"/>
        </w:rPr>
        <w:instrText xml:space="preserve"> TOC \o "1-3" \h \z \u </w:instrText>
      </w:r>
      <w:r>
        <w:rPr>
          <w:rStyle w:val="17"/>
          <w:rFonts w:hint="eastAsia" w:ascii="黑体" w:hAnsi="黑体" w:eastAsia="黑体" w:cs="黑体"/>
          <w:bCs/>
          <w:sz w:val="32"/>
          <w:szCs w:val="32"/>
        </w:rPr>
        <w:fldChar w:fldCharType="separate"/>
      </w: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_Toc22112 </w:instrText>
      </w:r>
      <w:r>
        <w:rPr>
          <w:rFonts w:hint="eastAsia" w:ascii="黑体" w:hAnsi="黑体" w:eastAsia="黑体" w:cs="黑体"/>
          <w:bCs/>
          <w:sz w:val="32"/>
          <w:szCs w:val="32"/>
        </w:rPr>
        <w:fldChar w:fldCharType="separate"/>
      </w:r>
      <w:r>
        <w:rPr>
          <w:rFonts w:hint="eastAsia" w:ascii="黑体" w:hAnsi="黑体" w:eastAsia="黑体" w:cs="黑体"/>
          <w:bCs/>
          <w:sz w:val="32"/>
          <w:szCs w:val="32"/>
          <w:lang w:val="en-US" w:eastAsia="zh-CN"/>
        </w:rPr>
        <w:t>第一章  发展基础和机遇挑战</w:t>
      </w:r>
      <w:r>
        <w:rPr>
          <w:rFonts w:hint="eastAsia" w:ascii="黑体" w:hAnsi="黑体" w:eastAsia="黑体" w:cs="黑体"/>
          <w:bCs/>
          <w:sz w:val="32"/>
          <w:szCs w:val="32"/>
        </w:rPr>
        <w:tab/>
      </w: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PAGEREF _Toc22112 </w:instrText>
      </w:r>
      <w:r>
        <w:rPr>
          <w:rFonts w:hint="eastAsia" w:ascii="黑体" w:hAnsi="黑体" w:eastAsia="黑体" w:cs="黑体"/>
          <w:bCs/>
          <w:sz w:val="32"/>
          <w:szCs w:val="32"/>
        </w:rPr>
        <w:fldChar w:fldCharType="separate"/>
      </w:r>
      <w:r>
        <w:rPr>
          <w:rFonts w:hint="eastAsia" w:ascii="黑体" w:hAnsi="黑体" w:eastAsia="黑体" w:cs="黑体"/>
          <w:bCs/>
          <w:sz w:val="32"/>
          <w:szCs w:val="32"/>
        </w:rPr>
        <w:t>1</w:t>
      </w:r>
      <w:r>
        <w:rPr>
          <w:rFonts w:hint="eastAsia" w:ascii="黑体" w:hAnsi="黑体" w:eastAsia="黑体" w:cs="黑体"/>
          <w:bCs/>
          <w:sz w:val="32"/>
          <w:szCs w:val="32"/>
        </w:rPr>
        <w:fldChar w:fldCharType="end"/>
      </w:r>
      <w:r>
        <w:rPr>
          <w:rFonts w:hint="eastAsia" w:ascii="黑体" w:hAnsi="黑体" w:eastAsia="黑体" w:cs="黑体"/>
          <w:bCs/>
          <w:sz w:val="32"/>
          <w:szCs w:val="32"/>
        </w:rPr>
        <w:fldChar w:fldCharType="end"/>
      </w:r>
    </w:p>
    <w:p>
      <w:pPr>
        <w:pStyle w:val="2"/>
        <w:tabs>
          <w:tab w:val="right" w:leader="dot" w:pos="8640"/>
        </w:tabs>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_Toc5245 </w:instrText>
      </w:r>
      <w:r>
        <w:rPr>
          <w:rFonts w:hint="eastAsia" w:ascii="黑体" w:hAnsi="黑体" w:eastAsia="黑体" w:cs="黑体"/>
          <w:b w:val="0"/>
          <w:bCs/>
          <w:sz w:val="32"/>
          <w:szCs w:val="32"/>
        </w:rPr>
        <w:fldChar w:fldCharType="separate"/>
      </w:r>
      <w:r>
        <w:rPr>
          <w:rFonts w:hint="eastAsia" w:ascii="楷体" w:hAnsi="楷体" w:eastAsia="楷体" w:cs="楷体"/>
          <w:sz w:val="32"/>
          <w:szCs w:val="32"/>
        </w:rPr>
        <w:t>第一节  发展基础</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_Toc5245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1</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 w:val="0"/>
          <w:bCs/>
          <w:sz w:val="32"/>
          <w:szCs w:val="32"/>
        </w:rPr>
        <w:fldChar w:fldCharType="end"/>
      </w:r>
    </w:p>
    <w:p>
      <w:pPr>
        <w:pStyle w:val="2"/>
        <w:tabs>
          <w:tab w:val="right" w:leader="dot" w:pos="8640"/>
        </w:tabs>
        <w:rPr>
          <w:b w:val="0"/>
          <w:bCs/>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_Toc13382 </w:instrText>
      </w:r>
      <w:r>
        <w:rPr>
          <w:rFonts w:hint="eastAsia" w:ascii="黑体" w:hAnsi="黑体" w:eastAsia="黑体" w:cs="黑体"/>
          <w:b w:val="0"/>
          <w:bCs/>
          <w:sz w:val="32"/>
          <w:szCs w:val="32"/>
        </w:rPr>
        <w:fldChar w:fldCharType="separate"/>
      </w:r>
      <w:r>
        <w:rPr>
          <w:rFonts w:hint="eastAsia" w:ascii="楷体" w:hAnsi="楷体" w:eastAsia="楷体" w:cs="楷体"/>
          <w:sz w:val="32"/>
          <w:szCs w:val="32"/>
        </w:rPr>
        <w:t>第二节  机遇挑战</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_Toc13382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6</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 w:val="0"/>
          <w:bCs/>
          <w:sz w:val="32"/>
          <w:szCs w:val="32"/>
        </w:rPr>
        <w:fldChar w:fldCharType="end"/>
      </w:r>
    </w:p>
    <w:p>
      <w:pPr>
        <w:pStyle w:val="10"/>
        <w:tabs>
          <w:tab w:val="right" w:leader="dot" w:pos="8640"/>
        </w:tabs>
      </w:pP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HYPERLINK \l _Toc2683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第二章  总体要求</w:t>
      </w:r>
      <w:r>
        <w:rPr>
          <w:rFonts w:hint="eastAsia" w:ascii="黑体" w:hAnsi="黑体" w:eastAsia="黑体" w:cs="黑体"/>
          <w:bCs/>
          <w:sz w:val="32"/>
          <w:szCs w:val="32"/>
          <w:lang w:val="en-US" w:eastAsia="zh-CN"/>
        </w:rPr>
        <w:tab/>
      </w: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PAGEREF _Toc2683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10</w:t>
      </w:r>
      <w:r>
        <w:rPr>
          <w:rFonts w:hint="eastAsia" w:ascii="黑体" w:hAnsi="黑体" w:eastAsia="黑体" w:cs="黑体"/>
          <w:bCs/>
          <w:sz w:val="32"/>
          <w:szCs w:val="32"/>
          <w:lang w:val="en-US" w:eastAsia="zh-CN"/>
        </w:rPr>
        <w:fldChar w:fldCharType="end"/>
      </w:r>
      <w:r>
        <w:rPr>
          <w:rFonts w:hint="eastAsia" w:ascii="黑体" w:hAnsi="黑体" w:eastAsia="黑体" w:cs="黑体"/>
          <w:bCs/>
          <w:sz w:val="32"/>
          <w:szCs w:val="32"/>
          <w:lang w:val="en-US" w:eastAsia="zh-CN"/>
        </w:rPr>
        <w:fldChar w:fldCharType="end"/>
      </w:r>
    </w:p>
    <w:p>
      <w:pPr>
        <w:pStyle w:val="2"/>
        <w:tabs>
          <w:tab w:val="right" w:leader="dot" w:pos="8640"/>
        </w:tabs>
      </w:pP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HYPERLINK \l _Toc23389 </w:instrText>
      </w:r>
      <w:r>
        <w:rPr>
          <w:rFonts w:hint="eastAsia" w:ascii="楷体" w:hAnsi="楷体" w:eastAsia="楷体" w:cs="楷体"/>
          <w:sz w:val="32"/>
          <w:szCs w:val="32"/>
        </w:rPr>
        <w:fldChar w:fldCharType="separate"/>
      </w:r>
      <w:r>
        <w:rPr>
          <w:rFonts w:hint="eastAsia" w:ascii="楷体" w:hAnsi="楷体" w:eastAsia="楷体" w:cs="楷体"/>
          <w:sz w:val="32"/>
          <w:szCs w:val="32"/>
        </w:rPr>
        <w:t>第一节  指导思想</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_Toc23389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10</w:t>
      </w:r>
      <w:r>
        <w:rPr>
          <w:rFonts w:hint="eastAsia" w:ascii="黑体" w:hAnsi="黑体" w:eastAsia="黑体" w:cs="黑体"/>
          <w:bCs/>
          <w:kern w:val="2"/>
          <w:sz w:val="32"/>
          <w:szCs w:val="32"/>
          <w:lang w:val="en-US" w:eastAsia="zh-CN" w:bidi="ar-SA"/>
        </w:rPr>
        <w:fldChar w:fldCharType="end"/>
      </w:r>
      <w:r>
        <w:rPr>
          <w:rFonts w:hint="eastAsia" w:ascii="楷体" w:hAnsi="楷体" w:eastAsia="楷体" w:cs="楷体"/>
          <w:sz w:val="32"/>
          <w:szCs w:val="32"/>
        </w:rPr>
        <w:fldChar w:fldCharType="end"/>
      </w:r>
    </w:p>
    <w:p>
      <w:pPr>
        <w:pStyle w:val="2"/>
        <w:tabs>
          <w:tab w:val="right" w:leader="dot" w:pos="8640"/>
        </w:tabs>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HYPERLINK \l _Toc20897 </w:instrText>
      </w:r>
      <w:r>
        <w:rPr>
          <w:rFonts w:hint="eastAsia" w:ascii="黑体" w:hAnsi="黑体" w:eastAsia="黑体" w:cs="黑体"/>
          <w:bCs/>
          <w:kern w:val="2"/>
          <w:sz w:val="32"/>
          <w:szCs w:val="32"/>
          <w:lang w:val="en-US" w:eastAsia="zh-CN" w:bidi="ar-SA"/>
        </w:rPr>
        <w:fldChar w:fldCharType="separate"/>
      </w:r>
      <w:r>
        <w:rPr>
          <w:rFonts w:hint="eastAsia" w:ascii="楷体" w:hAnsi="楷体" w:eastAsia="楷体" w:cs="楷体"/>
          <w:sz w:val="32"/>
          <w:szCs w:val="32"/>
          <w:lang w:val="en-US" w:eastAsia="zh-CN"/>
        </w:rPr>
        <w:t>第二节  基本原则</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_Toc20897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11</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kern w:val="2"/>
          <w:sz w:val="32"/>
          <w:szCs w:val="32"/>
          <w:lang w:val="en-US" w:eastAsia="zh-CN" w:bidi="ar-SA"/>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_Toc18889 </w:instrText>
      </w:r>
      <w:r>
        <w:rPr>
          <w:rFonts w:hint="eastAsia" w:ascii="黑体" w:hAnsi="黑体" w:eastAsia="黑体" w:cs="黑体"/>
          <w:bCs/>
          <w:szCs w:val="32"/>
        </w:rPr>
        <w:fldChar w:fldCharType="separate"/>
      </w:r>
      <w:r>
        <w:rPr>
          <w:rFonts w:hint="eastAsia" w:ascii="楷体" w:hAnsi="楷体" w:eastAsia="楷体" w:cs="楷体"/>
          <w:sz w:val="32"/>
          <w:szCs w:val="32"/>
        </w:rPr>
        <w:t>第三节  主要目标</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_Toc18889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12</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10"/>
        <w:tabs>
          <w:tab w:val="right" w:leader="dot" w:pos="8640"/>
        </w:tabs>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HYPERLINK \l _Toc20329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第三章  促进深汕人社制度有效对接</w:t>
      </w:r>
      <w:r>
        <w:rPr>
          <w:rFonts w:hint="eastAsia" w:ascii="黑体" w:hAnsi="黑体" w:eastAsia="黑体" w:cs="黑体"/>
          <w:bCs/>
          <w:sz w:val="32"/>
          <w:szCs w:val="32"/>
          <w:lang w:val="en-US" w:eastAsia="zh-CN"/>
        </w:rPr>
        <w:tab/>
      </w: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PAGEREF _Toc20329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17</w:t>
      </w:r>
      <w:r>
        <w:rPr>
          <w:rFonts w:hint="eastAsia" w:ascii="黑体" w:hAnsi="黑体" w:eastAsia="黑体" w:cs="黑体"/>
          <w:bCs/>
          <w:sz w:val="32"/>
          <w:szCs w:val="32"/>
          <w:lang w:val="en-US" w:eastAsia="zh-CN"/>
        </w:rPr>
        <w:fldChar w:fldCharType="end"/>
      </w:r>
      <w:r>
        <w:rPr>
          <w:rFonts w:hint="eastAsia" w:ascii="黑体" w:hAnsi="黑体" w:eastAsia="黑体" w:cs="黑体"/>
          <w:bCs/>
          <w:sz w:val="32"/>
          <w:szCs w:val="32"/>
          <w:lang w:val="en-US" w:eastAsia="zh-CN"/>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_Toc14195 </w:instrText>
      </w:r>
      <w:r>
        <w:rPr>
          <w:rFonts w:hint="eastAsia" w:ascii="黑体" w:hAnsi="黑体" w:eastAsia="黑体" w:cs="黑体"/>
          <w:bCs/>
          <w:szCs w:val="32"/>
        </w:rPr>
        <w:fldChar w:fldCharType="separate"/>
      </w:r>
      <w:r>
        <w:rPr>
          <w:rFonts w:hint="eastAsia" w:ascii="楷体" w:hAnsi="楷体" w:eastAsia="楷体" w:cs="楷体"/>
          <w:sz w:val="32"/>
          <w:szCs w:val="32"/>
        </w:rPr>
        <w:t>第一节  加强就业合作</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_Toc14195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17</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_Toc2819 </w:instrText>
      </w:r>
      <w:r>
        <w:rPr>
          <w:rFonts w:hint="eastAsia" w:ascii="黑体" w:hAnsi="黑体" w:eastAsia="黑体" w:cs="黑体"/>
          <w:bCs/>
          <w:szCs w:val="32"/>
        </w:rPr>
        <w:fldChar w:fldCharType="separate"/>
      </w:r>
      <w:r>
        <w:rPr>
          <w:rFonts w:hint="eastAsia" w:ascii="楷体" w:hAnsi="楷体" w:eastAsia="楷体" w:cs="楷体"/>
          <w:sz w:val="32"/>
          <w:szCs w:val="32"/>
        </w:rPr>
        <w:t>第二节  加强人才合作</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_Toc2819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17</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_Toc18933 </w:instrText>
      </w:r>
      <w:r>
        <w:rPr>
          <w:rFonts w:hint="eastAsia" w:ascii="黑体" w:hAnsi="黑体" w:eastAsia="黑体" w:cs="黑体"/>
          <w:bCs/>
          <w:szCs w:val="32"/>
        </w:rPr>
        <w:fldChar w:fldCharType="separate"/>
      </w:r>
      <w:r>
        <w:rPr>
          <w:rFonts w:hint="eastAsia" w:ascii="楷体" w:hAnsi="楷体" w:eastAsia="楷体" w:cs="楷体"/>
          <w:sz w:val="32"/>
          <w:szCs w:val="32"/>
        </w:rPr>
        <w:t>第三节  推进公共服务一体化发展</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_Toc18933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18</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10"/>
        <w:tabs>
          <w:tab w:val="right" w:leader="dot" w:pos="8640"/>
        </w:tabs>
      </w:pP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HYPERLINK \l _Toc2604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第四章  实现更加充分更高质量就业</w:t>
      </w:r>
      <w:r>
        <w:rPr>
          <w:rFonts w:hint="eastAsia" w:ascii="黑体" w:hAnsi="黑体" w:eastAsia="黑体" w:cs="黑体"/>
          <w:bCs/>
          <w:sz w:val="32"/>
          <w:szCs w:val="32"/>
          <w:lang w:val="en-US" w:eastAsia="zh-CN"/>
        </w:rPr>
        <w:tab/>
      </w: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PAGEREF _Toc2604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19</w:t>
      </w:r>
      <w:r>
        <w:rPr>
          <w:rFonts w:hint="eastAsia" w:ascii="黑体" w:hAnsi="黑体" w:eastAsia="黑体" w:cs="黑体"/>
          <w:bCs/>
          <w:sz w:val="32"/>
          <w:szCs w:val="32"/>
          <w:lang w:val="en-US" w:eastAsia="zh-CN"/>
        </w:rPr>
        <w:fldChar w:fldCharType="end"/>
      </w:r>
      <w:r>
        <w:rPr>
          <w:rFonts w:hint="eastAsia" w:ascii="黑体" w:hAnsi="黑体" w:eastAsia="黑体" w:cs="黑体"/>
          <w:bCs/>
          <w:sz w:val="32"/>
          <w:szCs w:val="32"/>
          <w:lang w:val="en-US" w:eastAsia="zh-CN"/>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_Toc5271 </w:instrText>
      </w:r>
      <w:r>
        <w:rPr>
          <w:rFonts w:hint="eastAsia" w:ascii="黑体" w:hAnsi="黑体" w:eastAsia="黑体" w:cs="黑体"/>
          <w:bCs/>
          <w:szCs w:val="32"/>
        </w:rPr>
        <w:fldChar w:fldCharType="separate"/>
      </w:r>
      <w:r>
        <w:rPr>
          <w:rFonts w:hint="eastAsia" w:ascii="楷体" w:hAnsi="楷体" w:eastAsia="楷体" w:cs="楷体"/>
          <w:sz w:val="32"/>
          <w:szCs w:val="32"/>
        </w:rPr>
        <w:t>第一节  强化就业政策引导效能</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_Toc5271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19</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_Toc3479 </w:instrText>
      </w:r>
      <w:r>
        <w:rPr>
          <w:rFonts w:hint="eastAsia" w:ascii="黑体" w:hAnsi="黑体" w:eastAsia="黑体" w:cs="黑体"/>
          <w:bCs/>
          <w:szCs w:val="32"/>
        </w:rPr>
        <w:fldChar w:fldCharType="separate"/>
      </w:r>
      <w:r>
        <w:rPr>
          <w:rFonts w:hint="eastAsia" w:ascii="楷体" w:hAnsi="楷体" w:eastAsia="楷体" w:cs="楷体"/>
          <w:sz w:val="32"/>
          <w:szCs w:val="32"/>
        </w:rPr>
        <w:t>第二节  促进创业带动就业</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_Toc3479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20</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_Toc11650 </w:instrText>
      </w:r>
      <w:r>
        <w:rPr>
          <w:rFonts w:hint="eastAsia" w:ascii="黑体" w:hAnsi="黑体" w:eastAsia="黑体" w:cs="黑体"/>
          <w:bCs/>
          <w:szCs w:val="32"/>
        </w:rPr>
        <w:fldChar w:fldCharType="separate"/>
      </w:r>
      <w:r>
        <w:rPr>
          <w:rFonts w:hint="eastAsia" w:ascii="楷体" w:hAnsi="楷体" w:eastAsia="楷体" w:cs="楷体"/>
          <w:sz w:val="32"/>
          <w:szCs w:val="32"/>
        </w:rPr>
        <w:t>第三节  完善重点群体就业支持体系</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_Toc11650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20</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_Toc29163 </w:instrText>
      </w:r>
      <w:r>
        <w:rPr>
          <w:rFonts w:hint="eastAsia" w:ascii="黑体" w:hAnsi="黑体" w:eastAsia="黑体" w:cs="黑体"/>
          <w:bCs/>
          <w:szCs w:val="32"/>
        </w:rPr>
        <w:fldChar w:fldCharType="separate"/>
      </w:r>
      <w:r>
        <w:rPr>
          <w:rFonts w:hint="eastAsia" w:ascii="楷体" w:hAnsi="楷体" w:eastAsia="楷体" w:cs="楷体"/>
          <w:sz w:val="32"/>
          <w:szCs w:val="32"/>
        </w:rPr>
        <w:t>第四节  推进全方位公共就业服务</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_Toc29163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21</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10"/>
        <w:tabs>
          <w:tab w:val="right" w:leader="dot" w:pos="8640"/>
        </w:tabs>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HYPERLINK \l _Toc10592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第五章  建设全覆盖可持续的多层次社会保障体系</w:t>
      </w:r>
      <w:r>
        <w:rPr>
          <w:rFonts w:hint="eastAsia" w:ascii="黑体" w:hAnsi="黑体" w:eastAsia="黑体" w:cs="黑体"/>
          <w:bCs/>
          <w:sz w:val="32"/>
          <w:szCs w:val="32"/>
          <w:lang w:val="en-US" w:eastAsia="zh-CN"/>
        </w:rPr>
        <w:tab/>
      </w: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PAGEREF _Toc10592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23</w:t>
      </w:r>
      <w:r>
        <w:rPr>
          <w:rFonts w:hint="eastAsia" w:ascii="黑体" w:hAnsi="黑体" w:eastAsia="黑体" w:cs="黑体"/>
          <w:bCs/>
          <w:sz w:val="32"/>
          <w:szCs w:val="32"/>
          <w:lang w:val="en-US" w:eastAsia="zh-CN"/>
        </w:rPr>
        <w:fldChar w:fldCharType="end"/>
      </w:r>
      <w:r>
        <w:rPr>
          <w:rFonts w:hint="eastAsia" w:ascii="黑体" w:hAnsi="黑体" w:eastAsia="黑体" w:cs="黑体"/>
          <w:bCs/>
          <w:sz w:val="32"/>
          <w:szCs w:val="32"/>
          <w:lang w:val="en-US" w:eastAsia="zh-CN"/>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_Toc24930 </w:instrText>
      </w:r>
      <w:r>
        <w:rPr>
          <w:rFonts w:hint="eastAsia" w:ascii="黑体" w:hAnsi="黑体" w:eastAsia="黑体" w:cs="黑体"/>
          <w:bCs/>
          <w:szCs w:val="32"/>
        </w:rPr>
        <w:fldChar w:fldCharType="separate"/>
      </w:r>
      <w:r>
        <w:rPr>
          <w:rFonts w:hint="eastAsia" w:ascii="楷体" w:hAnsi="楷体" w:eastAsia="楷体" w:cs="楷体"/>
          <w:sz w:val="32"/>
          <w:szCs w:val="32"/>
        </w:rPr>
        <w:t>第一节  促进全民享有社会保障</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_Toc24930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23</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_Toc6383 </w:instrText>
      </w:r>
      <w:r>
        <w:rPr>
          <w:rFonts w:hint="eastAsia" w:ascii="黑体" w:hAnsi="黑体" w:eastAsia="黑体" w:cs="黑体"/>
          <w:bCs/>
          <w:szCs w:val="32"/>
        </w:rPr>
        <w:fldChar w:fldCharType="separate"/>
      </w:r>
      <w:r>
        <w:rPr>
          <w:rFonts w:hint="eastAsia" w:ascii="楷体" w:hAnsi="楷体" w:eastAsia="楷体" w:cs="楷体"/>
          <w:sz w:val="32"/>
          <w:szCs w:val="32"/>
        </w:rPr>
        <w:t>第二节  完善社会保障制度体系</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_Toc6383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24</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_Toc9085 </w:instrText>
      </w:r>
      <w:r>
        <w:rPr>
          <w:rFonts w:hint="eastAsia" w:ascii="黑体" w:hAnsi="黑体" w:eastAsia="黑体" w:cs="黑体"/>
          <w:bCs/>
          <w:szCs w:val="32"/>
        </w:rPr>
        <w:fldChar w:fldCharType="separate"/>
      </w:r>
      <w:r>
        <w:rPr>
          <w:rFonts w:hint="eastAsia" w:ascii="楷体" w:hAnsi="楷体" w:eastAsia="楷体" w:cs="楷体"/>
          <w:sz w:val="32"/>
          <w:szCs w:val="32"/>
        </w:rPr>
        <w:t>第三节  完善社会保障待遇调整机制</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_Toc9085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26</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_Toc16480 </w:instrText>
      </w:r>
      <w:r>
        <w:rPr>
          <w:rFonts w:hint="eastAsia" w:ascii="黑体" w:hAnsi="黑体" w:eastAsia="黑体" w:cs="黑体"/>
          <w:bCs/>
          <w:szCs w:val="32"/>
        </w:rPr>
        <w:fldChar w:fldCharType="separate"/>
      </w:r>
      <w:r>
        <w:rPr>
          <w:rFonts w:hint="eastAsia" w:ascii="楷体" w:hAnsi="楷体" w:eastAsia="楷体" w:cs="楷体"/>
          <w:sz w:val="32"/>
          <w:szCs w:val="32"/>
        </w:rPr>
        <w:t>第</w:t>
      </w:r>
      <w:r>
        <w:rPr>
          <w:rFonts w:hint="eastAsia" w:ascii="楷体" w:hAnsi="楷体" w:eastAsia="楷体" w:cs="楷体"/>
          <w:sz w:val="32"/>
          <w:szCs w:val="32"/>
          <w:lang w:eastAsia="zh-CN"/>
        </w:rPr>
        <w:t>四</w:t>
      </w:r>
      <w:r>
        <w:rPr>
          <w:rFonts w:hint="eastAsia" w:ascii="楷体" w:hAnsi="楷体" w:eastAsia="楷体" w:cs="楷体"/>
          <w:sz w:val="32"/>
          <w:szCs w:val="32"/>
        </w:rPr>
        <w:t xml:space="preserve">节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提升社会保险经办服务水平</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_Toc16480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26</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10"/>
        <w:tabs>
          <w:tab w:val="right" w:leader="dot" w:pos="8640"/>
        </w:tabs>
      </w:pP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HYPERLINK \l _Toc897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第六章  建设高水平人才队伍</w:t>
      </w:r>
      <w:r>
        <w:rPr>
          <w:rFonts w:hint="eastAsia" w:ascii="黑体" w:hAnsi="黑体" w:eastAsia="黑体" w:cs="黑体"/>
          <w:bCs/>
          <w:sz w:val="32"/>
          <w:szCs w:val="32"/>
          <w:lang w:val="en-US" w:eastAsia="zh-CN"/>
        </w:rPr>
        <w:tab/>
      </w: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PAGEREF _Toc897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28</w:t>
      </w:r>
      <w:r>
        <w:rPr>
          <w:rFonts w:hint="eastAsia" w:ascii="黑体" w:hAnsi="黑体" w:eastAsia="黑体" w:cs="黑体"/>
          <w:bCs/>
          <w:sz w:val="32"/>
          <w:szCs w:val="32"/>
          <w:lang w:val="en-US" w:eastAsia="zh-CN"/>
        </w:rPr>
        <w:fldChar w:fldCharType="end"/>
      </w:r>
      <w:r>
        <w:rPr>
          <w:rFonts w:hint="eastAsia" w:ascii="黑体" w:hAnsi="黑体" w:eastAsia="黑体" w:cs="黑体"/>
          <w:bCs/>
          <w:sz w:val="32"/>
          <w:szCs w:val="32"/>
          <w:lang w:val="en-US" w:eastAsia="zh-CN"/>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_Toc15988 </w:instrText>
      </w:r>
      <w:r>
        <w:rPr>
          <w:rFonts w:hint="eastAsia" w:ascii="黑体" w:hAnsi="黑体" w:eastAsia="黑体" w:cs="黑体"/>
          <w:bCs/>
          <w:szCs w:val="32"/>
        </w:rPr>
        <w:fldChar w:fldCharType="separate"/>
      </w:r>
      <w:r>
        <w:rPr>
          <w:rFonts w:hint="eastAsia" w:ascii="楷体" w:hAnsi="楷体" w:eastAsia="楷体" w:cs="楷体"/>
          <w:sz w:val="32"/>
          <w:szCs w:val="32"/>
        </w:rPr>
        <w:t>第一节  加快建设高层次专业技术人才队伍</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_Toc15988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28</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_Toc19335 </w:instrText>
      </w:r>
      <w:r>
        <w:rPr>
          <w:rFonts w:hint="eastAsia" w:ascii="黑体" w:hAnsi="黑体" w:eastAsia="黑体" w:cs="黑体"/>
          <w:bCs/>
          <w:szCs w:val="32"/>
        </w:rPr>
        <w:fldChar w:fldCharType="separate"/>
      </w:r>
      <w:r>
        <w:rPr>
          <w:rFonts w:hint="eastAsia" w:ascii="楷体" w:hAnsi="楷体" w:eastAsia="楷体" w:cs="楷体"/>
          <w:sz w:val="32"/>
          <w:szCs w:val="32"/>
        </w:rPr>
        <w:t>第二节  扩大高水平技能人才有效供给</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_Toc19335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29</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_Toc18868 </w:instrText>
      </w:r>
      <w:r>
        <w:rPr>
          <w:rFonts w:hint="eastAsia" w:ascii="黑体" w:hAnsi="黑体" w:eastAsia="黑体" w:cs="黑体"/>
          <w:bCs/>
          <w:szCs w:val="32"/>
        </w:rPr>
        <w:fldChar w:fldCharType="separate"/>
      </w:r>
      <w:r>
        <w:rPr>
          <w:rFonts w:hint="eastAsia" w:ascii="楷体" w:hAnsi="楷体" w:eastAsia="楷体" w:cs="楷体"/>
          <w:sz w:val="32"/>
          <w:szCs w:val="32"/>
        </w:rPr>
        <w:t>第三节  实施重大人才培养工程</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_Toc18868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30</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_Toc364 </w:instrText>
      </w:r>
      <w:r>
        <w:rPr>
          <w:rFonts w:hint="eastAsia" w:ascii="黑体" w:hAnsi="黑体" w:eastAsia="黑体" w:cs="黑体"/>
          <w:bCs/>
          <w:szCs w:val="32"/>
        </w:rPr>
        <w:fldChar w:fldCharType="separate"/>
      </w:r>
      <w:r>
        <w:rPr>
          <w:rFonts w:hint="eastAsia" w:ascii="楷体" w:hAnsi="楷体" w:eastAsia="楷体" w:cs="楷体"/>
          <w:sz w:val="32"/>
          <w:szCs w:val="32"/>
        </w:rPr>
        <w:t>第四节  完善人才公共服务体系</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_Toc364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33</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10"/>
        <w:tabs>
          <w:tab w:val="right" w:leader="dot" w:pos="8640"/>
        </w:tabs>
      </w:pP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HYPERLINK \l _Toc7225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第七章 提高事业单位人事管理科学化水平</w:t>
      </w:r>
      <w:r>
        <w:rPr>
          <w:rFonts w:hint="eastAsia" w:ascii="黑体" w:hAnsi="黑体" w:eastAsia="黑体" w:cs="黑体"/>
          <w:bCs/>
          <w:sz w:val="32"/>
          <w:szCs w:val="32"/>
          <w:lang w:val="en-US" w:eastAsia="zh-CN"/>
        </w:rPr>
        <w:tab/>
      </w: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PAGEREF _Toc7225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35</w:t>
      </w:r>
      <w:r>
        <w:rPr>
          <w:rFonts w:hint="eastAsia" w:ascii="黑体" w:hAnsi="黑体" w:eastAsia="黑体" w:cs="黑体"/>
          <w:bCs/>
          <w:sz w:val="32"/>
          <w:szCs w:val="32"/>
          <w:lang w:val="en-US" w:eastAsia="zh-CN"/>
        </w:rPr>
        <w:fldChar w:fldCharType="end"/>
      </w:r>
      <w:r>
        <w:rPr>
          <w:rFonts w:hint="eastAsia" w:ascii="黑体" w:hAnsi="黑体" w:eastAsia="黑体" w:cs="黑体"/>
          <w:bCs/>
          <w:sz w:val="32"/>
          <w:szCs w:val="32"/>
          <w:lang w:val="en-US" w:eastAsia="zh-CN"/>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_Toc15333 </w:instrText>
      </w:r>
      <w:r>
        <w:rPr>
          <w:rFonts w:hint="eastAsia" w:ascii="黑体" w:hAnsi="黑体" w:eastAsia="黑体" w:cs="黑体"/>
          <w:bCs/>
          <w:szCs w:val="32"/>
        </w:rPr>
        <w:fldChar w:fldCharType="separate"/>
      </w:r>
      <w:r>
        <w:rPr>
          <w:rFonts w:hint="eastAsia" w:ascii="楷体" w:hAnsi="楷体" w:eastAsia="楷体" w:cs="楷体"/>
          <w:sz w:val="32"/>
          <w:szCs w:val="32"/>
        </w:rPr>
        <w:t>第一节  深化事业单位人事制度改革</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_Toc15333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35</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_Toc10970 </w:instrText>
      </w:r>
      <w:r>
        <w:rPr>
          <w:rFonts w:hint="eastAsia" w:ascii="黑体" w:hAnsi="黑体" w:eastAsia="黑体" w:cs="黑体"/>
          <w:bCs/>
          <w:szCs w:val="32"/>
        </w:rPr>
        <w:fldChar w:fldCharType="separate"/>
      </w:r>
      <w:r>
        <w:rPr>
          <w:rFonts w:hint="eastAsia" w:ascii="楷体" w:hAnsi="楷体" w:eastAsia="楷体" w:cs="楷体"/>
          <w:sz w:val="32"/>
          <w:szCs w:val="32"/>
        </w:rPr>
        <w:t>第二节  改革完善事业单位薪酬分配制度</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_Toc10970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36</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_Toc22908 </w:instrText>
      </w:r>
      <w:r>
        <w:rPr>
          <w:rFonts w:hint="eastAsia" w:ascii="黑体" w:hAnsi="黑体" w:eastAsia="黑体" w:cs="黑体"/>
          <w:bCs/>
          <w:szCs w:val="32"/>
        </w:rPr>
        <w:fldChar w:fldCharType="separate"/>
      </w:r>
      <w:r>
        <w:rPr>
          <w:rFonts w:hint="eastAsia" w:ascii="楷体" w:hAnsi="楷体" w:eastAsia="楷体" w:cs="楷体"/>
          <w:sz w:val="32"/>
          <w:szCs w:val="32"/>
        </w:rPr>
        <w:t>第三节  完善事业单位人事管理服务</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_Toc22908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37</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10"/>
        <w:tabs>
          <w:tab w:val="right" w:leader="dot" w:pos="8640"/>
        </w:tabs>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HYPERLINK \l _Toc27333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第八章  构建新型和谐劳动关系</w:t>
      </w:r>
      <w:r>
        <w:rPr>
          <w:rFonts w:hint="eastAsia" w:ascii="黑体" w:hAnsi="黑体" w:eastAsia="黑体" w:cs="黑体"/>
          <w:bCs/>
          <w:sz w:val="32"/>
          <w:szCs w:val="32"/>
          <w:lang w:val="en-US" w:eastAsia="zh-CN"/>
        </w:rPr>
        <w:tab/>
      </w: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PAGEREF _Toc27333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39</w:t>
      </w:r>
      <w:r>
        <w:rPr>
          <w:rFonts w:hint="eastAsia" w:ascii="黑体" w:hAnsi="黑体" w:eastAsia="黑体" w:cs="黑体"/>
          <w:bCs/>
          <w:sz w:val="32"/>
          <w:szCs w:val="32"/>
          <w:lang w:val="en-US" w:eastAsia="zh-CN"/>
        </w:rPr>
        <w:fldChar w:fldCharType="end"/>
      </w:r>
      <w:r>
        <w:rPr>
          <w:rFonts w:hint="eastAsia" w:ascii="黑体" w:hAnsi="黑体" w:eastAsia="黑体" w:cs="黑体"/>
          <w:bCs/>
          <w:sz w:val="32"/>
          <w:szCs w:val="32"/>
          <w:lang w:val="en-US" w:eastAsia="zh-CN"/>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_Toc28748 </w:instrText>
      </w:r>
      <w:r>
        <w:rPr>
          <w:rFonts w:hint="eastAsia" w:ascii="黑体" w:hAnsi="黑体" w:eastAsia="黑体" w:cs="黑体"/>
          <w:bCs/>
          <w:szCs w:val="32"/>
        </w:rPr>
        <w:fldChar w:fldCharType="separate"/>
      </w:r>
      <w:r>
        <w:rPr>
          <w:rFonts w:hint="eastAsia" w:ascii="楷体" w:hAnsi="楷体" w:eastAsia="楷体" w:cs="楷体"/>
          <w:sz w:val="32"/>
          <w:szCs w:val="32"/>
        </w:rPr>
        <w:t>第一节  健全劳动关系协调机制</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_Toc28748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39</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_Toc16579 </w:instrText>
      </w:r>
      <w:r>
        <w:rPr>
          <w:rFonts w:hint="eastAsia" w:ascii="黑体" w:hAnsi="黑体" w:eastAsia="黑体" w:cs="黑体"/>
          <w:bCs/>
          <w:szCs w:val="32"/>
        </w:rPr>
        <w:fldChar w:fldCharType="separate"/>
      </w:r>
      <w:r>
        <w:rPr>
          <w:rFonts w:hint="eastAsia" w:ascii="楷体" w:hAnsi="楷体" w:eastAsia="楷体" w:cs="楷体"/>
          <w:sz w:val="32"/>
          <w:szCs w:val="32"/>
        </w:rPr>
        <w:t>第二节  深化企业工资收入分配制度改革</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_Toc16579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40</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2"/>
        <w:tabs>
          <w:tab w:val="right" w:leader="dot" w:pos="8640"/>
        </w:tabs>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HYPERLINK \l _Toc17579 </w:instrText>
      </w:r>
      <w:r>
        <w:rPr>
          <w:rFonts w:hint="eastAsia" w:ascii="黑体" w:hAnsi="黑体" w:eastAsia="黑体" w:cs="黑体"/>
          <w:bCs/>
          <w:kern w:val="2"/>
          <w:sz w:val="32"/>
          <w:szCs w:val="32"/>
          <w:lang w:val="en-US" w:eastAsia="zh-CN" w:bidi="ar-SA"/>
        </w:rPr>
        <w:fldChar w:fldCharType="separate"/>
      </w:r>
      <w:r>
        <w:rPr>
          <w:rFonts w:hint="eastAsia" w:ascii="楷体" w:hAnsi="楷体" w:eastAsia="楷体" w:cs="楷体"/>
          <w:sz w:val="32"/>
          <w:szCs w:val="32"/>
          <w:lang w:val="en-US" w:eastAsia="zh-CN"/>
        </w:rPr>
        <w:t>第三节  完善劳动人事争议调解仲载体制机制</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_Toc17579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41</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kern w:val="2"/>
          <w:sz w:val="32"/>
          <w:szCs w:val="32"/>
          <w:lang w:val="en-US" w:eastAsia="zh-CN" w:bidi="ar-SA"/>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_Toc20409 </w:instrText>
      </w:r>
      <w:r>
        <w:rPr>
          <w:rFonts w:hint="eastAsia" w:ascii="黑体" w:hAnsi="黑体" w:eastAsia="黑体" w:cs="黑体"/>
          <w:bCs/>
          <w:szCs w:val="32"/>
        </w:rPr>
        <w:fldChar w:fldCharType="separate"/>
      </w:r>
      <w:r>
        <w:rPr>
          <w:rFonts w:hint="eastAsia" w:ascii="楷体" w:hAnsi="楷体" w:eastAsia="楷体" w:cs="楷体"/>
          <w:sz w:val="32"/>
          <w:szCs w:val="32"/>
        </w:rPr>
        <w:t>第四节  提高劳动保障监察治理效能</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_Toc20409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42</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10"/>
        <w:tabs>
          <w:tab w:val="right" w:leader="dot" w:pos="8640"/>
        </w:tabs>
      </w:pP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HYPERLINK \l _Toc17965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第九章 提升公共服务能力和水平</w:t>
      </w:r>
      <w:r>
        <w:rPr>
          <w:rFonts w:hint="eastAsia" w:ascii="黑体" w:hAnsi="黑体" w:eastAsia="黑体" w:cs="黑体"/>
          <w:bCs/>
          <w:sz w:val="32"/>
          <w:szCs w:val="32"/>
          <w:lang w:val="en-US" w:eastAsia="zh-CN"/>
        </w:rPr>
        <w:tab/>
      </w: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PAGEREF _Toc17965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46</w:t>
      </w:r>
      <w:r>
        <w:rPr>
          <w:rFonts w:hint="eastAsia" w:ascii="黑体" w:hAnsi="黑体" w:eastAsia="黑体" w:cs="黑体"/>
          <w:bCs/>
          <w:sz w:val="32"/>
          <w:szCs w:val="32"/>
          <w:lang w:val="en-US" w:eastAsia="zh-CN"/>
        </w:rPr>
        <w:fldChar w:fldCharType="end"/>
      </w:r>
      <w:r>
        <w:rPr>
          <w:rFonts w:hint="eastAsia" w:ascii="黑体" w:hAnsi="黑体" w:eastAsia="黑体" w:cs="黑体"/>
          <w:bCs/>
          <w:sz w:val="32"/>
          <w:szCs w:val="32"/>
          <w:lang w:val="en-US" w:eastAsia="zh-CN"/>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_Toc18473 </w:instrText>
      </w:r>
      <w:r>
        <w:rPr>
          <w:rFonts w:hint="eastAsia" w:ascii="黑体" w:hAnsi="黑体" w:eastAsia="黑体" w:cs="黑体"/>
          <w:bCs/>
          <w:szCs w:val="32"/>
        </w:rPr>
        <w:fldChar w:fldCharType="separate"/>
      </w:r>
      <w:r>
        <w:rPr>
          <w:rFonts w:hint="eastAsia" w:ascii="楷体" w:hAnsi="楷体" w:eastAsia="楷体" w:cs="楷体"/>
          <w:sz w:val="32"/>
          <w:szCs w:val="32"/>
        </w:rPr>
        <w:t>第一节  强化法治人社建设</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_Toc18473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46</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_Toc19868 </w:instrText>
      </w:r>
      <w:r>
        <w:rPr>
          <w:rFonts w:hint="eastAsia" w:ascii="黑体" w:hAnsi="黑体" w:eastAsia="黑体" w:cs="黑体"/>
          <w:bCs/>
          <w:szCs w:val="32"/>
        </w:rPr>
        <w:fldChar w:fldCharType="separate"/>
      </w:r>
      <w:r>
        <w:rPr>
          <w:rFonts w:hint="eastAsia" w:ascii="楷体" w:hAnsi="楷体" w:eastAsia="楷体" w:cs="楷体"/>
          <w:sz w:val="32"/>
          <w:szCs w:val="32"/>
        </w:rPr>
        <w:t>第二节</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大力推进公共服务均等化标准化信息化建设</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_Toc19868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47</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_Toc10430 </w:instrText>
      </w:r>
      <w:r>
        <w:rPr>
          <w:rFonts w:hint="eastAsia" w:ascii="黑体" w:hAnsi="黑体" w:eastAsia="黑体" w:cs="黑体"/>
          <w:bCs/>
          <w:szCs w:val="32"/>
        </w:rPr>
        <w:fldChar w:fldCharType="separate"/>
      </w:r>
      <w:r>
        <w:rPr>
          <w:rFonts w:hint="eastAsia" w:ascii="楷体" w:hAnsi="楷体" w:eastAsia="楷体" w:cs="楷体"/>
          <w:sz w:val="32"/>
          <w:szCs w:val="32"/>
          <w:lang w:eastAsia="zh-CN"/>
        </w:rPr>
        <w:t>第三节</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素质过硬的人社队伍</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_Toc10430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49</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10"/>
        <w:tabs>
          <w:tab w:val="right" w:leader="dot" w:pos="8640"/>
        </w:tabs>
      </w:pP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HYPERLINK \l _Toc27612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第十章  保障措施</w:t>
      </w:r>
      <w:r>
        <w:rPr>
          <w:rFonts w:hint="eastAsia" w:ascii="黑体" w:hAnsi="黑体" w:eastAsia="黑体" w:cs="黑体"/>
          <w:bCs/>
          <w:sz w:val="32"/>
          <w:szCs w:val="32"/>
          <w:lang w:val="en-US" w:eastAsia="zh-CN"/>
        </w:rPr>
        <w:tab/>
      </w:r>
      <w:r>
        <w:rPr>
          <w:rFonts w:hint="eastAsia" w:ascii="黑体" w:hAnsi="黑体" w:eastAsia="黑体" w:cs="黑体"/>
          <w:bCs/>
          <w:sz w:val="32"/>
          <w:szCs w:val="32"/>
          <w:lang w:val="en-US" w:eastAsia="zh-CN"/>
        </w:rPr>
        <w:fldChar w:fldCharType="begin"/>
      </w:r>
      <w:r>
        <w:rPr>
          <w:rFonts w:hint="eastAsia" w:ascii="黑体" w:hAnsi="黑体" w:eastAsia="黑体" w:cs="黑体"/>
          <w:bCs/>
          <w:sz w:val="32"/>
          <w:szCs w:val="32"/>
          <w:lang w:val="en-US" w:eastAsia="zh-CN"/>
        </w:rPr>
        <w:instrText xml:space="preserve"> PAGEREF _Toc27612 </w:instrText>
      </w:r>
      <w:r>
        <w:rPr>
          <w:rFonts w:hint="eastAsia" w:ascii="黑体" w:hAnsi="黑体" w:eastAsia="黑体" w:cs="黑体"/>
          <w:bCs/>
          <w:sz w:val="32"/>
          <w:szCs w:val="32"/>
          <w:lang w:val="en-US" w:eastAsia="zh-CN"/>
        </w:rPr>
        <w:fldChar w:fldCharType="separate"/>
      </w:r>
      <w:r>
        <w:rPr>
          <w:rFonts w:hint="eastAsia" w:ascii="黑体" w:hAnsi="黑体" w:eastAsia="黑体" w:cs="黑体"/>
          <w:bCs/>
          <w:sz w:val="32"/>
          <w:szCs w:val="32"/>
          <w:lang w:val="en-US" w:eastAsia="zh-CN"/>
        </w:rPr>
        <w:t>50</w:t>
      </w:r>
      <w:r>
        <w:rPr>
          <w:rFonts w:hint="eastAsia" w:ascii="黑体" w:hAnsi="黑体" w:eastAsia="黑体" w:cs="黑体"/>
          <w:bCs/>
          <w:sz w:val="32"/>
          <w:szCs w:val="32"/>
          <w:lang w:val="en-US" w:eastAsia="zh-CN"/>
        </w:rPr>
        <w:fldChar w:fldCharType="end"/>
      </w:r>
      <w:r>
        <w:rPr>
          <w:rFonts w:hint="eastAsia" w:ascii="黑体" w:hAnsi="黑体" w:eastAsia="黑体" w:cs="黑体"/>
          <w:bCs/>
          <w:sz w:val="32"/>
          <w:szCs w:val="32"/>
          <w:lang w:val="en-US" w:eastAsia="zh-CN"/>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_Toc8227 </w:instrText>
      </w:r>
      <w:r>
        <w:rPr>
          <w:rFonts w:hint="eastAsia" w:ascii="黑体" w:hAnsi="黑体" w:eastAsia="黑体" w:cs="黑体"/>
          <w:bCs/>
          <w:szCs w:val="32"/>
        </w:rPr>
        <w:fldChar w:fldCharType="separate"/>
      </w:r>
      <w:r>
        <w:rPr>
          <w:rFonts w:hint="eastAsia" w:ascii="楷体" w:hAnsi="楷体" w:eastAsia="楷体" w:cs="楷体"/>
          <w:sz w:val="32"/>
          <w:szCs w:val="32"/>
          <w:lang w:eastAsia="zh-CN"/>
        </w:rPr>
        <w:t>第一节  加强政策研究和统计监测分析</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_Toc8227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50</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_Toc22747 </w:instrText>
      </w:r>
      <w:r>
        <w:rPr>
          <w:rFonts w:hint="eastAsia" w:ascii="黑体" w:hAnsi="黑体" w:eastAsia="黑体" w:cs="黑体"/>
          <w:bCs/>
          <w:szCs w:val="32"/>
        </w:rPr>
        <w:fldChar w:fldCharType="separate"/>
      </w:r>
      <w:r>
        <w:rPr>
          <w:rFonts w:hint="eastAsia" w:ascii="楷体" w:hAnsi="楷体" w:eastAsia="楷体" w:cs="楷体"/>
          <w:sz w:val="32"/>
          <w:szCs w:val="32"/>
          <w:lang w:eastAsia="zh-CN"/>
        </w:rPr>
        <w:t>第二节  提高财政投入效益</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_Toc22747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50</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_Toc700 </w:instrText>
      </w:r>
      <w:r>
        <w:rPr>
          <w:rFonts w:hint="eastAsia" w:ascii="黑体" w:hAnsi="黑体" w:eastAsia="黑体" w:cs="黑体"/>
          <w:bCs/>
          <w:szCs w:val="32"/>
        </w:rPr>
        <w:fldChar w:fldCharType="separate"/>
      </w:r>
      <w:r>
        <w:rPr>
          <w:rFonts w:hint="eastAsia" w:ascii="楷体" w:hAnsi="楷体" w:eastAsia="楷体" w:cs="楷体"/>
          <w:sz w:val="32"/>
          <w:szCs w:val="32"/>
          <w:lang w:eastAsia="zh-CN"/>
        </w:rPr>
        <w:t>第三节  实施重大项目</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_Toc700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51</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2"/>
        <w:tabs>
          <w:tab w:val="right" w:leader="dot" w:pos="8640"/>
        </w:tabs>
      </w:pPr>
      <w:r>
        <w:rPr>
          <w:rFonts w:hint="eastAsia" w:ascii="黑体" w:hAnsi="黑体" w:eastAsia="黑体" w:cs="黑体"/>
          <w:bCs/>
          <w:szCs w:val="32"/>
        </w:rPr>
        <w:fldChar w:fldCharType="begin"/>
      </w:r>
      <w:r>
        <w:rPr>
          <w:rFonts w:hint="eastAsia" w:ascii="黑体" w:hAnsi="黑体" w:eastAsia="黑体" w:cs="黑体"/>
          <w:bCs/>
          <w:szCs w:val="32"/>
        </w:rPr>
        <w:instrText xml:space="preserve"> HYPERLINK \l _Toc19185 </w:instrText>
      </w:r>
      <w:r>
        <w:rPr>
          <w:rFonts w:hint="eastAsia" w:ascii="黑体" w:hAnsi="黑体" w:eastAsia="黑体" w:cs="黑体"/>
          <w:bCs/>
          <w:szCs w:val="32"/>
        </w:rPr>
        <w:fldChar w:fldCharType="separate"/>
      </w:r>
      <w:r>
        <w:rPr>
          <w:rFonts w:hint="eastAsia" w:ascii="楷体" w:hAnsi="楷体" w:eastAsia="楷体" w:cs="楷体"/>
          <w:sz w:val="32"/>
          <w:szCs w:val="32"/>
          <w:lang w:eastAsia="zh-CN"/>
        </w:rPr>
        <w:t>第四节  强化规划实施</w:t>
      </w:r>
      <w:r>
        <w:rPr>
          <w:rFonts w:hint="eastAsia" w:ascii="黑体" w:hAnsi="黑体" w:eastAsia="黑体" w:cs="黑体"/>
          <w:bCs/>
          <w:kern w:val="2"/>
          <w:sz w:val="32"/>
          <w:szCs w:val="32"/>
          <w:lang w:val="en-US" w:eastAsia="zh-CN" w:bidi="ar-SA"/>
        </w:rPr>
        <w:tab/>
      </w:r>
      <w:r>
        <w:rPr>
          <w:rFonts w:hint="eastAsia" w:ascii="黑体" w:hAnsi="黑体" w:eastAsia="黑体" w:cs="黑体"/>
          <w:bCs/>
          <w:kern w:val="2"/>
          <w:sz w:val="32"/>
          <w:szCs w:val="32"/>
          <w:lang w:val="en-US" w:eastAsia="zh-CN" w:bidi="ar-SA"/>
        </w:rPr>
        <w:fldChar w:fldCharType="begin"/>
      </w:r>
      <w:r>
        <w:rPr>
          <w:rFonts w:hint="eastAsia" w:ascii="黑体" w:hAnsi="黑体" w:eastAsia="黑体" w:cs="黑体"/>
          <w:bCs/>
          <w:kern w:val="2"/>
          <w:sz w:val="32"/>
          <w:szCs w:val="32"/>
          <w:lang w:val="en-US" w:eastAsia="zh-CN" w:bidi="ar-SA"/>
        </w:rPr>
        <w:instrText xml:space="preserve"> PAGEREF _Toc19185 </w:instrText>
      </w:r>
      <w:r>
        <w:rPr>
          <w:rFonts w:hint="eastAsia" w:ascii="黑体" w:hAnsi="黑体" w:eastAsia="黑体" w:cs="黑体"/>
          <w:bCs/>
          <w:kern w:val="2"/>
          <w:sz w:val="32"/>
          <w:szCs w:val="32"/>
          <w:lang w:val="en-US" w:eastAsia="zh-CN" w:bidi="ar-SA"/>
        </w:rPr>
        <w:fldChar w:fldCharType="separate"/>
      </w:r>
      <w:r>
        <w:rPr>
          <w:rFonts w:hint="eastAsia" w:ascii="黑体" w:hAnsi="黑体" w:eastAsia="黑体" w:cs="黑体"/>
          <w:bCs/>
          <w:kern w:val="2"/>
          <w:sz w:val="32"/>
          <w:szCs w:val="32"/>
          <w:lang w:val="en-US" w:eastAsia="zh-CN" w:bidi="ar-SA"/>
        </w:rPr>
        <w:t>51</w:t>
      </w:r>
      <w:r>
        <w:rPr>
          <w:rFonts w:hint="eastAsia" w:ascii="黑体" w:hAnsi="黑体" w:eastAsia="黑体" w:cs="黑体"/>
          <w:bCs/>
          <w:kern w:val="2"/>
          <w:sz w:val="32"/>
          <w:szCs w:val="32"/>
          <w:lang w:val="en-US" w:eastAsia="zh-CN" w:bidi="ar-SA"/>
        </w:rPr>
        <w:fldChar w:fldCharType="end"/>
      </w:r>
      <w:r>
        <w:rPr>
          <w:rFonts w:hint="eastAsia" w:ascii="黑体" w:hAnsi="黑体" w:eastAsia="黑体" w:cs="黑体"/>
          <w:bCs/>
          <w:szCs w:val="32"/>
        </w:rPr>
        <w:fldChar w:fldCharType="end"/>
      </w:r>
    </w:p>
    <w:p>
      <w:pPr>
        <w:pStyle w:val="10"/>
        <w:tabs>
          <w:tab w:val="right" w:leader="dot" w:pos="8640"/>
        </w:tabs>
      </w:pP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HYPERLINK \l _Toc6903 </w:instrText>
      </w:r>
      <w:r>
        <w:rPr>
          <w:rFonts w:hint="eastAsia" w:ascii="黑体" w:hAnsi="黑体" w:eastAsia="黑体" w:cs="黑体"/>
          <w:bCs/>
          <w:sz w:val="32"/>
          <w:szCs w:val="32"/>
        </w:rPr>
        <w:fldChar w:fldCharType="separate"/>
      </w:r>
      <w:r>
        <w:rPr>
          <w:rFonts w:hint="eastAsia" w:ascii="黑体" w:hAnsi="黑体" w:eastAsia="黑体" w:cs="黑体"/>
          <w:bCs/>
          <w:sz w:val="32"/>
          <w:szCs w:val="32"/>
          <w:lang w:val="en-US" w:eastAsia="zh-CN"/>
        </w:rPr>
        <w:t>附件：汕尾市城区人力资源和社会保障事业发展“十四五”规划重大项目表</w:t>
      </w:r>
      <w:r>
        <w:rPr>
          <w:rFonts w:hint="eastAsia" w:ascii="黑体" w:hAnsi="黑体" w:eastAsia="黑体" w:cs="黑体"/>
          <w:bCs/>
          <w:sz w:val="32"/>
          <w:szCs w:val="32"/>
        </w:rPr>
        <w:tab/>
      </w:r>
      <w:r>
        <w:rPr>
          <w:rFonts w:hint="eastAsia" w:ascii="黑体" w:hAnsi="黑体" w:eastAsia="黑体" w:cs="黑体"/>
          <w:bCs/>
          <w:sz w:val="32"/>
          <w:szCs w:val="32"/>
        </w:rPr>
        <w:fldChar w:fldCharType="begin"/>
      </w:r>
      <w:r>
        <w:rPr>
          <w:rFonts w:hint="eastAsia" w:ascii="黑体" w:hAnsi="黑体" w:eastAsia="黑体" w:cs="黑体"/>
          <w:bCs/>
          <w:sz w:val="32"/>
          <w:szCs w:val="32"/>
        </w:rPr>
        <w:instrText xml:space="preserve"> PAGEREF _Toc6903 </w:instrText>
      </w:r>
      <w:r>
        <w:rPr>
          <w:rFonts w:hint="eastAsia" w:ascii="黑体" w:hAnsi="黑体" w:eastAsia="黑体" w:cs="黑体"/>
          <w:bCs/>
          <w:sz w:val="32"/>
          <w:szCs w:val="32"/>
        </w:rPr>
        <w:fldChar w:fldCharType="separate"/>
      </w:r>
      <w:r>
        <w:rPr>
          <w:rFonts w:hint="eastAsia" w:ascii="黑体" w:hAnsi="黑体" w:eastAsia="黑体" w:cs="黑体"/>
          <w:bCs/>
          <w:sz w:val="32"/>
          <w:szCs w:val="32"/>
        </w:rPr>
        <w:t>53</w:t>
      </w:r>
      <w:r>
        <w:rPr>
          <w:rFonts w:hint="eastAsia" w:ascii="黑体" w:hAnsi="黑体" w:eastAsia="黑体" w:cs="黑体"/>
          <w:bCs/>
          <w:sz w:val="32"/>
          <w:szCs w:val="32"/>
        </w:rPr>
        <w:fldChar w:fldCharType="end"/>
      </w:r>
      <w:r>
        <w:rPr>
          <w:rFonts w:hint="eastAsia" w:ascii="黑体" w:hAnsi="黑体" w:eastAsia="黑体" w:cs="黑体"/>
          <w:bCs/>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0" w:firstLineChars="0"/>
        <w:jc w:val="both"/>
        <w:textAlignment w:val="auto"/>
        <w:outlineLvl w:val="9"/>
        <w:rPr>
          <w:rStyle w:val="17"/>
          <w:rFonts w:ascii="仿宋_GB2312" w:hAnsi="仿宋" w:eastAsia="仿宋_GB2312" w:cs="仿宋"/>
          <w:bCs/>
          <w:sz w:val="32"/>
          <w:szCs w:val="32"/>
        </w:rPr>
      </w:pPr>
      <w:r>
        <w:rPr>
          <w:rFonts w:hint="eastAsia" w:ascii="黑体" w:hAnsi="黑体" w:eastAsia="黑体" w:cs="黑体"/>
          <w:bCs/>
          <w:szCs w:val="32"/>
        </w:rPr>
        <w:fldChar w:fldCharType="end"/>
      </w:r>
    </w:p>
    <w:p>
      <w:pPr>
        <w:keepLines w:val="0"/>
        <w:pageBreakBefore w:val="0"/>
        <w:kinsoku/>
        <w:wordWrap/>
        <w:overflowPunct/>
        <w:topLinePunct w:val="0"/>
        <w:autoSpaceDE/>
        <w:autoSpaceDN/>
        <w:bidi w:val="0"/>
        <w:adjustRightInd w:val="0"/>
        <w:snapToGrid w:val="0"/>
        <w:spacing w:line="560" w:lineRule="exact"/>
        <w:ind w:firstLine="640" w:firstLineChars="200"/>
        <w:rPr>
          <w:rStyle w:val="17"/>
          <w:rFonts w:ascii="仿宋_GB2312" w:hAnsi="仿宋" w:eastAsia="仿宋_GB2312" w:cs="仿宋"/>
          <w:bCs/>
          <w:sz w:val="32"/>
          <w:szCs w:val="32"/>
        </w:rPr>
      </w:pPr>
    </w:p>
    <w:p>
      <w:pPr>
        <w:keepLines w:val="0"/>
        <w:pageBreakBefore w:val="0"/>
        <w:kinsoku/>
        <w:wordWrap/>
        <w:overflowPunct/>
        <w:topLinePunct w:val="0"/>
        <w:autoSpaceDE/>
        <w:autoSpaceDN/>
        <w:bidi w:val="0"/>
        <w:adjustRightInd w:val="0"/>
        <w:snapToGrid w:val="0"/>
        <w:spacing w:line="560" w:lineRule="exact"/>
        <w:ind w:firstLine="640" w:firstLineChars="200"/>
        <w:rPr>
          <w:rStyle w:val="17"/>
          <w:rFonts w:ascii="仿宋_GB2312" w:hAnsi="仿宋" w:eastAsia="仿宋_GB2312" w:cs="仿宋"/>
          <w:bCs/>
          <w:sz w:val="32"/>
          <w:szCs w:val="32"/>
        </w:rPr>
        <w:sectPr>
          <w:pgSz w:w="12240" w:h="15840"/>
          <w:pgMar w:top="1440" w:right="1800" w:bottom="1440" w:left="1800" w:header="720" w:footer="720" w:gutter="0"/>
          <w:pgNumType w:start="1"/>
          <w:cols w:space="720" w:num="1"/>
        </w:sectPr>
      </w:pPr>
    </w:p>
    <w:p>
      <w:pPr>
        <w:keepLines w:val="0"/>
        <w:pageBreakBefore w:val="0"/>
        <w:kinsoku/>
        <w:wordWrap/>
        <w:overflowPunct/>
        <w:topLinePunct w:val="0"/>
        <w:autoSpaceDE/>
        <w:autoSpaceDN/>
        <w:bidi w:val="0"/>
        <w:adjustRightInd w:val="0"/>
        <w:snapToGrid w:val="0"/>
        <w:spacing w:line="560" w:lineRule="exact"/>
        <w:ind w:firstLine="640" w:firstLineChars="200"/>
        <w:rPr>
          <w:rStyle w:val="17"/>
          <w:rFonts w:ascii="仿宋_GB2312" w:hAnsi="仿宋" w:eastAsia="仿宋_GB2312" w:cs="仿宋"/>
          <w:bCs/>
          <w:sz w:val="32"/>
          <w:szCs w:val="32"/>
        </w:rPr>
      </w:pPr>
      <w:r>
        <w:rPr>
          <w:rStyle w:val="17"/>
          <w:rFonts w:hint="eastAsia" w:ascii="仿宋_GB2312" w:hAnsi="仿宋" w:eastAsia="仿宋_GB2312" w:cs="仿宋"/>
          <w:bCs/>
          <w:sz w:val="32"/>
          <w:szCs w:val="32"/>
        </w:rPr>
        <w:t>根据《</w:t>
      </w:r>
      <w:r>
        <w:rPr>
          <w:rStyle w:val="17"/>
          <w:rFonts w:hint="eastAsia" w:ascii="仿宋_GB2312" w:hAnsi="仿宋" w:eastAsia="仿宋_GB2312" w:cs="仿宋"/>
          <w:bCs/>
          <w:sz w:val="32"/>
          <w:szCs w:val="32"/>
          <w:lang w:eastAsia="zh-CN"/>
        </w:rPr>
        <w:t>汕尾市</w:t>
      </w:r>
      <w:r>
        <w:rPr>
          <w:rStyle w:val="17"/>
          <w:rFonts w:hint="eastAsia" w:ascii="仿宋_GB2312" w:hAnsi="仿宋" w:eastAsia="仿宋_GB2312" w:cs="仿宋"/>
          <w:bCs/>
          <w:sz w:val="32"/>
          <w:szCs w:val="32"/>
        </w:rPr>
        <w:t>人力资源和社会保障事业发展“十四五”规划》和《汕尾市</w:t>
      </w:r>
      <w:r>
        <w:rPr>
          <w:rStyle w:val="17"/>
          <w:rFonts w:hint="eastAsia" w:ascii="仿宋_GB2312" w:hAnsi="仿宋" w:eastAsia="仿宋_GB2312" w:cs="仿宋"/>
          <w:bCs/>
          <w:sz w:val="32"/>
          <w:szCs w:val="32"/>
          <w:lang w:eastAsia="zh-CN"/>
        </w:rPr>
        <w:t>城区</w:t>
      </w:r>
      <w:r>
        <w:rPr>
          <w:rStyle w:val="17"/>
          <w:rFonts w:hint="eastAsia" w:ascii="仿宋_GB2312" w:hAnsi="仿宋" w:eastAsia="仿宋_GB2312" w:cs="仿宋"/>
          <w:bCs/>
          <w:sz w:val="32"/>
          <w:szCs w:val="32"/>
        </w:rPr>
        <w:t>国民经济和社会发展第十四个五年规划</w:t>
      </w:r>
      <w:r>
        <w:rPr>
          <w:rStyle w:val="17"/>
          <w:rFonts w:hint="eastAsia" w:ascii="仿宋_GB2312" w:hAnsi="仿宋" w:eastAsia="仿宋_GB2312" w:cs="仿宋"/>
          <w:bCs/>
          <w:sz w:val="32"/>
          <w:szCs w:val="32"/>
          <w:lang w:eastAsia="zh-CN"/>
        </w:rPr>
        <w:t>和二</w:t>
      </w:r>
      <w:r>
        <w:rPr>
          <w:rStyle w:val="17"/>
          <w:rFonts w:hint="eastAsia" w:ascii="仿宋_GB2312" w:hAnsi="仿宋" w:eastAsia="仿宋_GB2312" w:cs="仿宋"/>
          <w:bCs/>
          <w:sz w:val="32"/>
          <w:szCs w:val="32"/>
          <w:lang w:val="en-US" w:eastAsia="zh-CN"/>
        </w:rPr>
        <w:t>0三五年远景目标纲</w:t>
      </w:r>
      <w:r>
        <w:rPr>
          <w:rStyle w:val="17"/>
          <w:rFonts w:hint="eastAsia" w:ascii="仿宋_GB2312" w:hAnsi="仿宋" w:eastAsia="仿宋_GB2312" w:cs="仿宋"/>
          <w:bCs/>
          <w:sz w:val="32"/>
          <w:szCs w:val="32"/>
        </w:rPr>
        <w:t>要》，为谋划推进全</w:t>
      </w:r>
      <w:r>
        <w:rPr>
          <w:rStyle w:val="17"/>
          <w:rFonts w:hint="eastAsia" w:ascii="仿宋_GB2312" w:hAnsi="仿宋" w:eastAsia="仿宋_GB2312" w:cs="仿宋"/>
          <w:bCs/>
          <w:sz w:val="32"/>
          <w:szCs w:val="32"/>
          <w:lang w:eastAsia="zh-CN"/>
        </w:rPr>
        <w:t>区</w:t>
      </w:r>
      <w:r>
        <w:rPr>
          <w:rStyle w:val="17"/>
          <w:rFonts w:hint="eastAsia" w:ascii="仿宋_GB2312" w:hAnsi="仿宋" w:eastAsia="仿宋_GB2312" w:cs="仿宋"/>
          <w:bCs/>
          <w:sz w:val="32"/>
          <w:szCs w:val="32"/>
        </w:rPr>
        <w:t>人力资源和社会保障事业迈上更高水平，制定本规划，规划期限为2</w:t>
      </w:r>
      <w:r>
        <w:rPr>
          <w:rStyle w:val="17"/>
          <w:rFonts w:ascii="仿宋_GB2312" w:hAnsi="仿宋" w:eastAsia="仿宋_GB2312" w:cs="仿宋"/>
          <w:bCs/>
          <w:sz w:val="32"/>
          <w:szCs w:val="32"/>
        </w:rPr>
        <w:t>021</w:t>
      </w:r>
      <w:r>
        <w:rPr>
          <w:rStyle w:val="17"/>
          <w:rFonts w:hint="eastAsia" w:ascii="仿宋_GB2312" w:hAnsi="仿宋" w:eastAsia="仿宋_GB2312" w:cs="仿宋"/>
          <w:bCs/>
          <w:sz w:val="32"/>
          <w:szCs w:val="32"/>
        </w:rPr>
        <w:t>-</w:t>
      </w:r>
      <w:r>
        <w:rPr>
          <w:rStyle w:val="17"/>
          <w:rFonts w:ascii="仿宋_GB2312" w:hAnsi="仿宋" w:eastAsia="仿宋_GB2312" w:cs="仿宋"/>
          <w:bCs/>
          <w:sz w:val="32"/>
          <w:szCs w:val="32"/>
        </w:rPr>
        <w:t>2025年</w:t>
      </w:r>
      <w:r>
        <w:rPr>
          <w:rStyle w:val="17"/>
          <w:rFonts w:hint="eastAsia" w:ascii="仿宋_GB2312" w:hAnsi="仿宋" w:eastAsia="仿宋_GB2312" w:cs="仿宋"/>
          <w:bCs/>
          <w:sz w:val="32"/>
          <w:szCs w:val="32"/>
        </w:rPr>
        <w:t>。</w:t>
      </w: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ascii="Calibri" w:hAnsi="Calibri" w:eastAsia="黑体"/>
          <w:sz w:val="44"/>
          <w:szCs w:val="44"/>
          <w:lang w:val="en-US" w:eastAsia="zh-CN"/>
        </w:rPr>
      </w:pPr>
      <w:bookmarkStart w:id="0" w:name="_Toc22112"/>
      <w:bookmarkStart w:id="1" w:name="_Toc9610"/>
      <w:r>
        <w:rPr>
          <w:rFonts w:hint="eastAsia" w:ascii="Calibri" w:hAnsi="Calibri" w:eastAsia="黑体"/>
          <w:sz w:val="44"/>
          <w:szCs w:val="44"/>
          <w:lang w:val="en-US" w:eastAsia="zh-CN"/>
        </w:rPr>
        <w:t>第一章  发展基础和机遇挑战</w:t>
      </w:r>
      <w:bookmarkEnd w:id="0"/>
      <w:bookmarkEnd w:id="1"/>
      <w:bookmarkStart w:id="2" w:name="_Toc512"/>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Cambria" w:hAnsi="Cambria" w:eastAsia="楷体_GB2312"/>
          <w:color w:val="000000"/>
          <w:sz w:val="34"/>
        </w:rPr>
      </w:pPr>
      <w:bookmarkStart w:id="3" w:name="_Toc15996"/>
      <w:bookmarkStart w:id="4" w:name="_Toc5245"/>
      <w:r>
        <w:rPr>
          <w:rFonts w:hint="eastAsia" w:ascii="Cambria" w:hAnsi="Cambria" w:eastAsia="楷体_GB2312"/>
          <w:color w:val="000000"/>
          <w:sz w:val="34"/>
        </w:rPr>
        <w:t>第一节  发展基础</w:t>
      </w:r>
      <w:bookmarkEnd w:id="2"/>
      <w:bookmarkEnd w:id="3"/>
      <w:bookmarkEnd w:id="4"/>
    </w:p>
    <w:p>
      <w:pPr>
        <w:keepLines w:val="0"/>
        <w:pageBreakBefore w:val="0"/>
        <w:kinsoku/>
        <w:wordWrap/>
        <w:overflowPunct/>
        <w:topLinePunct w:val="0"/>
        <w:autoSpaceDE/>
        <w:autoSpaceDN/>
        <w:bidi w:val="0"/>
        <w:adjustRightInd w:val="0"/>
        <w:snapToGrid w:val="0"/>
        <w:spacing w:line="560" w:lineRule="exact"/>
        <w:ind w:firstLine="640" w:firstLineChars="200"/>
        <w:rPr>
          <w:rStyle w:val="17"/>
          <w:rFonts w:ascii="仿宋_GB2312" w:hAnsi="仿宋" w:eastAsia="仿宋_GB2312" w:cs="仿宋"/>
          <w:bCs/>
          <w:sz w:val="32"/>
          <w:szCs w:val="32"/>
        </w:rPr>
      </w:pPr>
      <w:r>
        <w:rPr>
          <w:rStyle w:val="17"/>
          <w:rFonts w:hint="eastAsia" w:hAnsi="仿宋" w:eastAsia="仿宋_GB2312" w:cs="仿宋"/>
          <w:bCs/>
          <w:sz w:val="32"/>
          <w:szCs w:val="32"/>
        </w:rPr>
        <w:t>“十三五”时期是我</w:t>
      </w:r>
      <w:r>
        <w:rPr>
          <w:rStyle w:val="17"/>
          <w:rFonts w:hint="eastAsia" w:hAnsi="仿宋" w:eastAsia="仿宋_GB2312" w:cs="仿宋"/>
          <w:bCs/>
          <w:sz w:val="32"/>
          <w:szCs w:val="32"/>
          <w:lang w:eastAsia="zh-CN"/>
        </w:rPr>
        <w:t>区</w:t>
      </w:r>
      <w:r>
        <w:rPr>
          <w:rStyle w:val="17"/>
          <w:rFonts w:hint="eastAsia" w:hAnsi="仿宋" w:eastAsia="仿宋_GB2312" w:cs="仿宋"/>
          <w:bCs/>
          <w:sz w:val="32"/>
          <w:szCs w:val="32"/>
        </w:rPr>
        <w:t>人力资源和社会保障事业迈出重要步伐、取得新的重大成绩、发展质量大幅提升的五年。五年来，</w:t>
      </w:r>
      <w:r>
        <w:rPr>
          <w:rStyle w:val="17"/>
          <w:rFonts w:hint="eastAsia" w:hAnsi="仿宋" w:eastAsia="仿宋_GB2312" w:cs="仿宋"/>
          <w:bCs/>
          <w:sz w:val="32"/>
          <w:szCs w:val="32"/>
          <w:lang w:eastAsia="zh-CN"/>
        </w:rPr>
        <w:t>全</w:t>
      </w:r>
      <w:r>
        <w:rPr>
          <w:rStyle w:val="17"/>
          <w:rFonts w:hint="eastAsia" w:ascii="仿宋_GB2312" w:hAnsi="仿宋" w:eastAsia="仿宋_GB2312" w:cs="仿宋"/>
          <w:bCs/>
          <w:sz w:val="32"/>
          <w:szCs w:val="32"/>
          <w:lang w:eastAsia="zh-CN"/>
        </w:rPr>
        <w:t>区</w:t>
      </w:r>
      <w:r>
        <w:rPr>
          <w:rStyle w:val="17"/>
          <w:rFonts w:hint="eastAsia" w:ascii="仿宋_GB2312" w:hAnsi="仿宋" w:eastAsia="仿宋_GB2312" w:cs="仿宋"/>
          <w:bCs/>
          <w:sz w:val="32"/>
          <w:szCs w:val="32"/>
        </w:rPr>
        <w:t>人力资源和社会保障部门坚决贯彻</w:t>
      </w:r>
      <w:r>
        <w:rPr>
          <w:rStyle w:val="17"/>
          <w:rFonts w:hint="eastAsia" w:ascii="仿宋_GB2312" w:hAnsi="仿宋" w:eastAsia="仿宋_GB2312" w:cs="仿宋"/>
          <w:bCs/>
          <w:sz w:val="32"/>
          <w:szCs w:val="32"/>
          <w:lang w:eastAsia="zh-CN"/>
        </w:rPr>
        <w:t>区</w:t>
      </w:r>
      <w:r>
        <w:rPr>
          <w:rStyle w:val="17"/>
          <w:rFonts w:hint="eastAsia" w:ascii="仿宋_GB2312" w:hAnsi="仿宋" w:eastAsia="仿宋_GB2312" w:cs="仿宋"/>
          <w:bCs/>
          <w:sz w:val="32"/>
          <w:szCs w:val="32"/>
        </w:rPr>
        <w:t>委、</w:t>
      </w:r>
      <w:r>
        <w:rPr>
          <w:rStyle w:val="17"/>
          <w:rFonts w:hint="eastAsia" w:ascii="仿宋_GB2312" w:hAnsi="仿宋" w:eastAsia="仿宋_GB2312" w:cs="仿宋"/>
          <w:bCs/>
          <w:sz w:val="32"/>
          <w:szCs w:val="32"/>
          <w:lang w:eastAsia="zh-CN"/>
        </w:rPr>
        <w:t>区</w:t>
      </w:r>
      <w:r>
        <w:rPr>
          <w:rStyle w:val="17"/>
          <w:rFonts w:hint="eastAsia" w:ascii="仿宋_GB2312" w:hAnsi="仿宋" w:eastAsia="仿宋_GB2312" w:cs="仿宋"/>
          <w:bCs/>
          <w:sz w:val="32"/>
          <w:szCs w:val="32"/>
        </w:rPr>
        <w:t>政府和</w:t>
      </w:r>
      <w:r>
        <w:rPr>
          <w:rStyle w:val="17"/>
          <w:rFonts w:hint="eastAsia" w:ascii="仿宋_GB2312" w:hAnsi="仿宋" w:eastAsia="仿宋_GB2312" w:cs="仿宋"/>
          <w:bCs/>
          <w:sz w:val="32"/>
          <w:szCs w:val="32"/>
          <w:lang w:eastAsia="zh-CN"/>
        </w:rPr>
        <w:t>市</w:t>
      </w:r>
      <w:r>
        <w:rPr>
          <w:rStyle w:val="17"/>
          <w:rFonts w:hint="eastAsia" w:ascii="仿宋_GB2312" w:hAnsi="仿宋" w:eastAsia="仿宋_GB2312" w:cs="仿宋"/>
          <w:bCs/>
          <w:sz w:val="32"/>
          <w:szCs w:val="32"/>
        </w:rPr>
        <w:t>人力资源和社会保障</w:t>
      </w:r>
      <w:r>
        <w:rPr>
          <w:rStyle w:val="17"/>
          <w:rFonts w:hint="eastAsia" w:ascii="仿宋_GB2312" w:hAnsi="仿宋" w:eastAsia="仿宋_GB2312" w:cs="仿宋"/>
          <w:bCs/>
          <w:sz w:val="32"/>
          <w:szCs w:val="32"/>
          <w:lang w:eastAsia="zh-CN"/>
        </w:rPr>
        <w:t>局</w:t>
      </w:r>
      <w:r>
        <w:rPr>
          <w:rStyle w:val="17"/>
          <w:rFonts w:hint="eastAsia" w:ascii="仿宋_GB2312" w:hAnsi="仿宋" w:eastAsia="仿宋_GB2312" w:cs="仿宋"/>
          <w:bCs/>
          <w:sz w:val="32"/>
          <w:szCs w:val="32"/>
        </w:rPr>
        <w:t>的决策部署，</w:t>
      </w:r>
      <w:r>
        <w:rPr>
          <w:rStyle w:val="17"/>
          <w:rFonts w:hint="eastAsia" w:hAnsi="仿宋" w:eastAsia="仿宋_GB2312" w:cs="仿宋"/>
          <w:bCs/>
          <w:sz w:val="32"/>
          <w:szCs w:val="32"/>
        </w:rPr>
        <w:t>对标“四个走在全国前列”，全面实施“民生为本、人才优先”战略，坚持以人民为中心，坚持稳中求进，凝心聚力、攻坚克难、善于创新、勇于实践，全面完成“十三五”时期主要目标任务，为</w:t>
      </w:r>
      <w:r>
        <w:rPr>
          <w:rStyle w:val="17"/>
          <w:rFonts w:hint="eastAsia" w:hAnsi="仿宋" w:eastAsia="仿宋_GB2312" w:cs="仿宋"/>
          <w:bCs/>
          <w:sz w:val="32"/>
          <w:szCs w:val="32"/>
          <w:lang w:eastAsia="zh-CN"/>
        </w:rPr>
        <w:t>服务</w:t>
      </w:r>
      <w:r>
        <w:rPr>
          <w:rStyle w:val="17"/>
          <w:rFonts w:hint="eastAsia" w:hAnsi="仿宋" w:eastAsia="仿宋_GB2312" w:cs="仿宋"/>
          <w:bCs/>
          <w:sz w:val="32"/>
          <w:szCs w:val="32"/>
        </w:rPr>
        <w:t>保障改善民生，实施创新驱动战略，加快转变经济发展方式和维护社会和谐稳定作出重要贡献，为“十四五”时期发展奠定了坚实的基础。</w:t>
      </w:r>
    </w:p>
    <w:p>
      <w:pPr>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_GB2312" w:hAnsi="楷体_GB2312" w:eastAsia="仿宋_GB2312" w:cs="楷体_GB2312"/>
          <w:color w:val="auto"/>
          <w:sz w:val="32"/>
          <w:szCs w:val="32"/>
        </w:rPr>
      </w:pPr>
      <w:r>
        <w:rPr>
          <w:rStyle w:val="17"/>
          <w:rFonts w:hint="eastAsia" w:hAnsi="仿宋" w:eastAsia="仿宋_GB2312" w:cs="仿宋"/>
          <w:b/>
          <w:bCs/>
          <w:sz w:val="32"/>
          <w:szCs w:val="32"/>
        </w:rPr>
        <w:t>稳岗扩就业成效显著。</w:t>
      </w:r>
      <w:r>
        <w:rPr>
          <w:rStyle w:val="17"/>
          <w:rFonts w:hint="eastAsia" w:hAnsi="仿宋" w:eastAsia="仿宋_GB2312" w:cs="仿宋"/>
          <w:bCs/>
          <w:sz w:val="32"/>
          <w:szCs w:val="32"/>
        </w:rPr>
        <w:t>深入实施就业优先政策，稳就业政策体系进一步丰富完善，</w:t>
      </w:r>
      <w:r>
        <w:rPr>
          <w:rStyle w:val="17"/>
          <w:rFonts w:hint="eastAsia" w:hAnsi="仿宋" w:eastAsia="仿宋_GB2312" w:cs="仿宋"/>
          <w:bCs/>
          <w:sz w:val="32"/>
          <w:szCs w:val="32"/>
          <w:lang w:eastAsia="zh-CN"/>
        </w:rPr>
        <w:t>全面落实</w:t>
      </w:r>
      <w:r>
        <w:rPr>
          <w:rStyle w:val="17"/>
          <w:rFonts w:ascii="仿宋_GB2312" w:hAnsi="仿宋" w:eastAsia="仿宋_GB2312" w:cs="仿宋"/>
          <w:bCs/>
          <w:sz w:val="32"/>
          <w:szCs w:val="32"/>
        </w:rPr>
        <w:t>2.0</w:t>
      </w:r>
      <w:r>
        <w:rPr>
          <w:rStyle w:val="17"/>
          <w:rFonts w:hint="eastAsia" w:hAnsi="仿宋" w:eastAsia="仿宋_GB2312" w:cs="仿宋"/>
          <w:bCs/>
          <w:sz w:val="32"/>
          <w:szCs w:val="32"/>
        </w:rPr>
        <w:t>版“促进就业九条”，</w:t>
      </w:r>
      <w:r>
        <w:rPr>
          <w:rStyle w:val="17"/>
          <w:rFonts w:hint="eastAsia" w:hAnsi="仿宋" w:eastAsia="仿宋_GB2312" w:cs="仿宋"/>
          <w:bCs/>
          <w:sz w:val="32"/>
          <w:szCs w:val="32"/>
          <w:lang w:eastAsia="zh-CN"/>
        </w:rPr>
        <w:t>抓好</w:t>
      </w:r>
      <w:r>
        <w:rPr>
          <w:rStyle w:val="17"/>
          <w:rFonts w:hint="eastAsia" w:hAnsi="仿宋" w:eastAsia="仿宋_GB2312" w:cs="仿宋"/>
          <w:bCs/>
          <w:sz w:val="32"/>
          <w:szCs w:val="32"/>
        </w:rPr>
        <w:t>“用工保障</w:t>
      </w:r>
      <w:r>
        <w:rPr>
          <w:rStyle w:val="17"/>
          <w:rFonts w:ascii="仿宋_GB2312" w:hAnsi="仿宋" w:eastAsia="仿宋_GB2312" w:cs="仿宋"/>
          <w:bCs/>
          <w:sz w:val="32"/>
          <w:szCs w:val="32"/>
        </w:rPr>
        <w:t>7</w:t>
      </w:r>
      <w:r>
        <w:rPr>
          <w:rStyle w:val="17"/>
          <w:rFonts w:hint="eastAsia" w:hAnsi="仿宋" w:eastAsia="仿宋_GB2312" w:cs="仿宋"/>
          <w:bCs/>
          <w:sz w:val="32"/>
          <w:szCs w:val="32"/>
        </w:rPr>
        <w:t>条”，细化支持高校毕业生、农民工等重点群体就业政策措施，推出</w:t>
      </w:r>
      <w:r>
        <w:rPr>
          <w:rStyle w:val="17"/>
          <w:rFonts w:hint="eastAsia" w:hAnsi="仿宋" w:eastAsia="仿宋_GB2312" w:cs="仿宋"/>
          <w:bCs/>
          <w:sz w:val="32"/>
          <w:szCs w:val="32"/>
          <w:lang w:eastAsia="zh-CN"/>
        </w:rPr>
        <w:t>和抓好</w:t>
      </w:r>
      <w:r>
        <w:rPr>
          <w:rStyle w:val="17"/>
          <w:rFonts w:hint="eastAsia" w:hAnsi="仿宋" w:eastAsia="仿宋_GB2312" w:cs="仿宋"/>
          <w:bCs/>
          <w:sz w:val="32"/>
          <w:szCs w:val="32"/>
        </w:rPr>
        <w:t>一系列减负稳岗扩就业的政策举措。</w:t>
      </w:r>
      <w:r>
        <w:rPr>
          <w:rFonts w:hint="eastAsia" w:ascii="仿宋_GB2312" w:hAnsi="仿宋_GB2312" w:eastAsia="仿宋_GB2312" w:cs="仿宋_GB2312"/>
          <w:color w:val="auto"/>
          <w:kern w:val="2"/>
          <w:sz w:val="32"/>
          <w:szCs w:val="32"/>
          <w:lang w:val="en-US" w:eastAsia="zh-CN" w:bidi="ar-SA"/>
        </w:rPr>
        <w:t>落实积极就业政策，切实推进就业创业工作。</w:t>
      </w:r>
      <w:r>
        <w:rPr>
          <w:rFonts w:hint="eastAsia" w:ascii="仿宋_GB2312" w:hAnsi="仿宋_GB2312" w:eastAsia="仿宋_GB2312" w:cs="仿宋_GB2312"/>
          <w:color w:val="auto"/>
          <w:sz w:val="32"/>
          <w:szCs w:val="32"/>
        </w:rPr>
        <w:t>认定区级创业孵化基地1家（汕尾市前瞻高等理工研究院），为创业初</w:t>
      </w:r>
      <w:r>
        <w:rPr>
          <w:rFonts w:hint="eastAsia" w:ascii="仿宋_GB2312" w:hAnsi="楷体_GB2312" w:eastAsia="仿宋_GB2312" w:cs="楷体_GB2312"/>
          <w:color w:val="auto"/>
          <w:sz w:val="32"/>
          <w:szCs w:val="32"/>
        </w:rPr>
        <w:t>始人员提供政策扶持、项目论证、创业培训、创业实训、开业指导等“</w:t>
      </w:r>
      <w:r>
        <w:rPr>
          <w:rFonts w:hint="eastAsia" w:ascii="仿宋_GB2312" w:hAnsi="仿宋_GB2312" w:eastAsia="仿宋_GB2312" w:cs="仿宋_GB2312"/>
          <w:color w:val="auto"/>
          <w:sz w:val="32"/>
          <w:szCs w:val="32"/>
        </w:rPr>
        <w:t>一站式”服务，实现“孵化促创业、创业带</w:t>
      </w:r>
      <w:r>
        <w:rPr>
          <w:rFonts w:hint="eastAsia" w:ascii="仿宋_GB2312" w:hAnsi="楷体_GB2312" w:eastAsia="仿宋_GB2312" w:cs="楷体_GB2312"/>
          <w:color w:val="auto"/>
          <w:sz w:val="32"/>
          <w:szCs w:val="32"/>
        </w:rPr>
        <w:t>就业、就业促发展”。创建我区首个省级“粤菜师傅”技能大师工作室和区级“粤菜师傅”培训基地。全面实施“粤菜师傅”“广东技工”“南粤家政”三项工程，劳动者素养普遍提升。</w:t>
      </w:r>
      <w:r>
        <w:rPr>
          <w:rFonts w:hint="eastAsia" w:ascii="仿宋_GB2312" w:hAnsi="楷体_GB2312" w:eastAsia="仿宋_GB2312" w:cs="楷体_GB2312"/>
          <w:color w:val="auto"/>
          <w:sz w:val="32"/>
          <w:szCs w:val="32"/>
          <w:lang w:eastAsia="zh-CN"/>
        </w:rPr>
        <w:t>认定</w:t>
      </w:r>
      <w:r>
        <w:rPr>
          <w:rFonts w:hint="eastAsia" w:ascii="仿宋-GB2312" w:hAnsi="仿宋-GB2312" w:eastAsia="仿宋-GB2312" w:cs="仿宋-GB2312"/>
          <w:b w:val="0"/>
          <w:i w:val="0"/>
          <w:caps w:val="0"/>
          <w:color w:val="auto"/>
          <w:spacing w:val="0"/>
          <w:w w:val="100"/>
          <w:kern w:val="2"/>
          <w:sz w:val="32"/>
          <w:szCs w:val="32"/>
          <w:lang w:val="en-US" w:eastAsia="zh-CN" w:bidi="ar-SA"/>
        </w:rPr>
        <w:t>汕尾逸挥基金医院、汕尾德昌电子有限公司、汕尾天贸新能源科技有限公司、汕尾城市在线传媒有限公司和汕尾万盛针织时装有限公司等5家高校毕业生就业见习基地,认定汕尾市口腔医院有限公司、汕尾市农粤科技有限公司、汕尾中山医院、广东恒宇信息科技有限公司和汕尾市众汇职业培训学校学校等5家就业见习单位，充分发挥就业见习基地和见习单位的作用，加强人才储备力量，改善本地人才队伍结构，满足本地区经济社会发展对人才的需求。</w:t>
      </w:r>
      <w:r>
        <w:rPr>
          <w:rFonts w:hint="eastAsia" w:ascii="仿宋_GB2312" w:hAnsi="楷体_GB2312" w:eastAsia="仿宋_GB2312" w:cs="楷体_GB2312"/>
          <w:color w:val="auto"/>
          <w:sz w:val="32"/>
          <w:szCs w:val="32"/>
        </w:rPr>
        <w:t>多措并举稳就业，中美经贸斗争、新冠肺炎疫情等影响下失业风险得到有效控制，就业局势总体保持稳定。就业规模继续扩大，城镇就业比重进一步上升，劳动者就地就近就业和返乡创业增多，区域就业结构更趋均衡。“十三五”期间，全</w:t>
      </w:r>
      <w:r>
        <w:rPr>
          <w:rFonts w:hint="eastAsia" w:ascii="仿宋_GB2312" w:hAnsi="楷体_GB2312" w:eastAsia="仿宋_GB2312" w:cs="楷体_GB2312"/>
          <w:color w:val="auto"/>
          <w:sz w:val="32"/>
          <w:szCs w:val="32"/>
          <w:lang w:eastAsia="zh-CN"/>
        </w:rPr>
        <w:t>区</w:t>
      </w:r>
      <w:r>
        <w:rPr>
          <w:rFonts w:hint="eastAsia" w:ascii="仿宋_GB2312" w:hAnsi="楷体_GB2312" w:eastAsia="仿宋_GB2312" w:cs="楷体_GB2312"/>
          <w:color w:val="auto"/>
          <w:sz w:val="32"/>
          <w:szCs w:val="32"/>
        </w:rPr>
        <w:t>城镇新增就业</w:t>
      </w:r>
      <w:r>
        <w:rPr>
          <w:rFonts w:hint="eastAsia" w:ascii="仿宋_GB2312" w:hAnsi="楷体_GB2312" w:eastAsia="仿宋_GB2312" w:cs="楷体_GB2312"/>
          <w:color w:val="auto"/>
          <w:sz w:val="32"/>
          <w:szCs w:val="32"/>
          <w:lang w:val="en-US" w:eastAsia="zh-CN"/>
        </w:rPr>
        <w:t>3.02</w:t>
      </w:r>
      <w:r>
        <w:rPr>
          <w:rFonts w:hint="eastAsia" w:ascii="仿宋_GB2312" w:hAnsi="楷体_GB2312" w:eastAsia="仿宋_GB2312" w:cs="楷体_GB2312"/>
          <w:color w:val="auto"/>
          <w:sz w:val="32"/>
          <w:szCs w:val="32"/>
        </w:rPr>
        <w:t>万人，失业人员再就</w:t>
      </w:r>
      <w:r>
        <w:rPr>
          <w:rFonts w:hint="eastAsia" w:ascii="仿宋_GB2312" w:hAnsi="楷体_GB2312" w:eastAsia="仿宋_GB2312" w:cs="楷体_GB2312"/>
          <w:color w:val="auto"/>
          <w:sz w:val="32"/>
          <w:szCs w:val="32"/>
          <w:lang w:val="en-US" w:eastAsia="zh-CN"/>
        </w:rPr>
        <w:t>业1.21万人</w:t>
      </w:r>
      <w:r>
        <w:rPr>
          <w:rFonts w:hint="eastAsia" w:ascii="仿宋_GB2312" w:hAnsi="楷体_GB2312" w:eastAsia="仿宋_GB2312" w:cs="楷体_GB2312"/>
          <w:color w:val="auto"/>
          <w:sz w:val="32"/>
          <w:szCs w:val="32"/>
        </w:rPr>
        <w:t>，就业困难人员再就业</w:t>
      </w:r>
      <w:r>
        <w:rPr>
          <w:rFonts w:hint="eastAsia" w:ascii="仿宋_GB2312" w:hAnsi="楷体_GB2312" w:eastAsia="仿宋_GB2312" w:cs="楷体_GB2312"/>
          <w:color w:val="auto"/>
          <w:sz w:val="32"/>
          <w:szCs w:val="32"/>
          <w:lang w:val="en-US" w:eastAsia="zh-CN"/>
        </w:rPr>
        <w:t>0.2万</w:t>
      </w:r>
      <w:r>
        <w:rPr>
          <w:rFonts w:hint="eastAsia" w:ascii="仿宋_GB2312" w:hAnsi="楷体_GB2312" w:eastAsia="仿宋_GB2312" w:cs="楷体_GB2312"/>
          <w:color w:val="auto"/>
          <w:sz w:val="32"/>
          <w:szCs w:val="32"/>
        </w:rPr>
        <w:t>人；2020年末城镇登记失业率控制在2.33%，控制在目标任务</w:t>
      </w:r>
      <w:r>
        <w:rPr>
          <w:rFonts w:hint="eastAsia" w:ascii="仿宋_GB2312" w:hAnsi="楷体_GB2312" w:eastAsia="仿宋_GB2312" w:cs="楷体_GB2312"/>
          <w:color w:val="auto"/>
          <w:sz w:val="32"/>
          <w:szCs w:val="32"/>
          <w:lang w:val="en-US" w:eastAsia="zh-CN"/>
        </w:rPr>
        <w:t>3.0%</w:t>
      </w:r>
      <w:r>
        <w:rPr>
          <w:rFonts w:hint="eastAsia" w:ascii="仿宋_GB2312" w:hAnsi="楷体_GB2312" w:eastAsia="仿宋_GB2312" w:cs="楷体_GB2312"/>
          <w:color w:val="auto"/>
          <w:sz w:val="32"/>
          <w:szCs w:val="32"/>
        </w:rPr>
        <w:t>以内。</w:t>
      </w:r>
    </w:p>
    <w:p>
      <w:pPr>
        <w:keepLines w:val="0"/>
        <w:pageBreakBefore w:val="0"/>
        <w:kinsoku/>
        <w:wordWrap/>
        <w:overflowPunct/>
        <w:topLinePunct w:val="0"/>
        <w:autoSpaceDE/>
        <w:autoSpaceDN/>
        <w:bidi w:val="0"/>
        <w:adjustRightInd w:val="0"/>
        <w:snapToGrid w:val="0"/>
        <w:spacing w:line="560" w:lineRule="exact"/>
        <w:ind w:firstLine="643" w:firstLineChars="200"/>
        <w:rPr>
          <w:rStyle w:val="17"/>
          <w:rFonts w:ascii="仿宋_GB2312" w:hAnsi="仿宋" w:eastAsia="仿宋_GB2312" w:cs="仿宋"/>
          <w:bCs/>
          <w:color w:val="auto"/>
          <w:sz w:val="32"/>
          <w:szCs w:val="32"/>
        </w:rPr>
      </w:pPr>
      <w:r>
        <w:rPr>
          <w:rStyle w:val="17"/>
          <w:rFonts w:hint="eastAsia" w:ascii="仿宋_GB2312" w:hAnsi="仿宋" w:eastAsia="仿宋_GB2312" w:cs="仿宋"/>
          <w:b/>
          <w:bCs/>
          <w:sz w:val="32"/>
          <w:szCs w:val="32"/>
        </w:rPr>
        <w:t>社会保障水平稳步提高。</w:t>
      </w:r>
      <w:r>
        <w:rPr>
          <w:rStyle w:val="17"/>
          <w:rFonts w:hint="eastAsia" w:ascii="仿宋_GB2312" w:hAnsi="仿宋" w:eastAsia="仿宋_GB2312" w:cs="仿宋"/>
          <w:b w:val="0"/>
          <w:bCs/>
          <w:color w:val="auto"/>
          <w:sz w:val="32"/>
          <w:szCs w:val="32"/>
        </w:rPr>
        <w:t>深</w:t>
      </w:r>
      <w:r>
        <w:rPr>
          <w:rStyle w:val="17"/>
          <w:rFonts w:hint="eastAsia" w:hAnsi="仿宋" w:eastAsia="仿宋_GB2312" w:cs="仿宋"/>
          <w:b w:val="0"/>
          <w:bCs/>
          <w:color w:val="auto"/>
          <w:sz w:val="32"/>
          <w:szCs w:val="32"/>
        </w:rPr>
        <w:t>化社保体制机制改革，扩面征</w:t>
      </w:r>
      <w:r>
        <w:rPr>
          <w:rStyle w:val="17"/>
          <w:rFonts w:hint="eastAsia" w:hAnsi="仿宋" w:eastAsia="仿宋_GB2312" w:cs="仿宋"/>
          <w:bCs/>
          <w:color w:val="auto"/>
          <w:sz w:val="32"/>
          <w:szCs w:val="32"/>
        </w:rPr>
        <w:t>缴持续推进，完成企业职工基本养老保险、工伤保险基金省级统筹，失业保险基金省级统筹、城乡居民养老保险市级统筹管理稳步推进，机关事业单位养老保险制度改革稳妥推进，职业年金、企业年金迈出改革步伐。强化发挥社会保险稽核内控作用，社会保险基金总体</w:t>
      </w:r>
      <w:r>
        <w:rPr>
          <w:rStyle w:val="17"/>
          <w:rFonts w:hint="eastAsia" w:ascii="仿宋_GB2312" w:hAnsi="仿宋" w:eastAsia="仿宋_GB2312" w:cs="仿宋"/>
          <w:bCs/>
          <w:color w:val="auto"/>
          <w:sz w:val="32"/>
          <w:szCs w:val="32"/>
        </w:rPr>
        <w:t>安</w:t>
      </w:r>
      <w:r>
        <w:rPr>
          <w:rStyle w:val="17"/>
          <w:rFonts w:hint="eastAsia" w:ascii="Times New Roman" w:hAnsi="仿宋" w:eastAsia="仿宋_GB2312" w:cs="仿宋"/>
          <w:bCs/>
          <w:color w:val="auto"/>
          <w:sz w:val="32"/>
          <w:szCs w:val="32"/>
        </w:rPr>
        <w:t>全完整。截至2020年底，全</w:t>
      </w:r>
      <w:r>
        <w:rPr>
          <w:rStyle w:val="17"/>
          <w:rFonts w:hint="eastAsia" w:ascii="Times New Roman" w:hAnsi="仿宋" w:eastAsia="仿宋_GB2312" w:cs="仿宋"/>
          <w:bCs/>
          <w:color w:val="auto"/>
          <w:sz w:val="32"/>
          <w:szCs w:val="32"/>
          <w:lang w:eastAsia="zh-CN"/>
        </w:rPr>
        <w:t>区</w:t>
      </w:r>
      <w:r>
        <w:rPr>
          <w:rStyle w:val="17"/>
          <w:rFonts w:hint="eastAsia" w:ascii="Times New Roman" w:hAnsi="仿宋" w:eastAsia="仿宋_GB2312" w:cs="仿宋"/>
          <w:bCs/>
          <w:color w:val="auto"/>
          <w:sz w:val="32"/>
          <w:szCs w:val="32"/>
        </w:rPr>
        <w:t>养老、失业、工伤三大险种参保</w:t>
      </w:r>
      <w:r>
        <w:rPr>
          <w:rStyle w:val="17"/>
          <w:rFonts w:hint="eastAsia" w:ascii="Times New Roman" w:hAnsi="仿宋" w:eastAsia="仿宋_GB2312" w:cs="仿宋"/>
          <w:bCs/>
          <w:color w:val="auto"/>
          <w:sz w:val="32"/>
          <w:szCs w:val="32"/>
          <w:lang w:eastAsia="zh-CN"/>
        </w:rPr>
        <w:t>人数为</w:t>
      </w:r>
      <w:r>
        <w:rPr>
          <w:rStyle w:val="17"/>
          <w:rFonts w:hint="eastAsia" w:ascii="Times New Roman" w:hAnsi="仿宋" w:eastAsia="仿宋_GB2312" w:cs="仿宋"/>
          <w:bCs/>
          <w:color w:val="auto"/>
          <w:sz w:val="32"/>
          <w:szCs w:val="32"/>
          <w:lang w:val="en-US" w:eastAsia="zh-CN"/>
        </w:rPr>
        <w:t>28779人、7552人、12555</w:t>
      </w:r>
      <w:r>
        <w:rPr>
          <w:rStyle w:val="17"/>
          <w:rFonts w:hint="eastAsia" w:ascii="Times New Roman" w:hAnsi="仿宋" w:eastAsia="仿宋_GB2312" w:cs="仿宋"/>
          <w:bCs/>
          <w:color w:val="auto"/>
          <w:sz w:val="32"/>
          <w:szCs w:val="32"/>
        </w:rPr>
        <w:t>人，企业退休人员基本养老金提升至2020元，比“十二五”期末增长</w:t>
      </w:r>
      <w:r>
        <w:rPr>
          <w:rStyle w:val="17"/>
          <w:rFonts w:hint="eastAsia" w:ascii="Times New Roman" w:hAnsi="仿宋" w:eastAsia="仿宋_GB2312" w:cs="仿宋"/>
          <w:bCs/>
          <w:color w:val="auto"/>
          <w:sz w:val="32"/>
          <w:szCs w:val="32"/>
          <w:lang w:val="en-US" w:eastAsia="zh-CN"/>
        </w:rPr>
        <w:t>17.3%</w:t>
      </w:r>
      <w:r>
        <w:rPr>
          <w:rStyle w:val="17"/>
          <w:rFonts w:hint="eastAsia" w:ascii="Times New Roman" w:hAnsi="仿宋" w:eastAsia="仿宋_GB2312" w:cs="仿宋"/>
          <w:bCs/>
          <w:color w:val="auto"/>
          <w:sz w:val="32"/>
          <w:szCs w:val="32"/>
        </w:rPr>
        <w:t>。城乡居保基础养老金最低标准提高至每人每月</w:t>
      </w:r>
      <w:r>
        <w:rPr>
          <w:rStyle w:val="17"/>
          <w:rFonts w:hint="eastAsia" w:ascii="Times New Roman" w:hAnsi="仿宋" w:eastAsia="仿宋_GB2312" w:cs="仿宋"/>
          <w:bCs/>
          <w:color w:val="auto"/>
          <w:sz w:val="32"/>
          <w:szCs w:val="32"/>
          <w:lang w:val="en-US" w:eastAsia="zh-CN"/>
        </w:rPr>
        <w:t>180</w:t>
      </w:r>
      <w:r>
        <w:rPr>
          <w:rStyle w:val="17"/>
          <w:rFonts w:hint="eastAsia" w:ascii="Times New Roman" w:hAnsi="仿宋" w:eastAsia="仿宋_GB2312" w:cs="仿宋"/>
          <w:bCs/>
          <w:color w:val="auto"/>
          <w:sz w:val="32"/>
          <w:szCs w:val="32"/>
        </w:rPr>
        <w:t>元，比“十二五”期末增长了</w:t>
      </w:r>
      <w:r>
        <w:rPr>
          <w:rStyle w:val="17"/>
          <w:rFonts w:hint="eastAsia" w:ascii="Times New Roman" w:hAnsi="仿宋" w:eastAsia="仿宋_GB2312" w:cs="仿宋"/>
          <w:bCs/>
          <w:color w:val="auto"/>
          <w:sz w:val="32"/>
          <w:szCs w:val="32"/>
          <w:lang w:val="en-US" w:eastAsia="zh-CN"/>
        </w:rPr>
        <w:t>80</w:t>
      </w:r>
      <w:r>
        <w:rPr>
          <w:rStyle w:val="17"/>
          <w:rFonts w:hint="eastAsia" w:ascii="Times New Roman" w:hAnsi="仿宋" w:eastAsia="仿宋_GB2312" w:cs="仿宋"/>
          <w:bCs/>
          <w:color w:val="auto"/>
          <w:sz w:val="32"/>
          <w:szCs w:val="32"/>
        </w:rPr>
        <w:t>%。一次性工亡补助金从57.7</w:t>
      </w:r>
      <w:r>
        <w:rPr>
          <w:rStyle w:val="17"/>
          <w:rFonts w:hint="eastAsia" w:ascii="仿宋_GB2312" w:hAnsi="仿宋" w:eastAsia="仿宋_GB2312" w:cs="仿宋"/>
          <w:bCs/>
          <w:color w:val="auto"/>
          <w:sz w:val="32"/>
          <w:szCs w:val="32"/>
        </w:rPr>
        <w:t>万元提高至84.7万元，工伤伤残津贴标准从月人均2801提高至月人均3866元。社会保障卡持卡人数达</w:t>
      </w:r>
      <w:r>
        <w:rPr>
          <w:rStyle w:val="17"/>
          <w:rFonts w:hint="eastAsia" w:ascii="仿宋_GB2312" w:hAnsi="仿宋" w:eastAsia="仿宋_GB2312" w:cs="仿宋"/>
          <w:bCs/>
          <w:color w:val="auto"/>
          <w:sz w:val="32"/>
          <w:szCs w:val="32"/>
          <w:lang w:val="en-US" w:eastAsia="zh-CN"/>
        </w:rPr>
        <w:t>42.89</w:t>
      </w:r>
      <w:r>
        <w:rPr>
          <w:rStyle w:val="17"/>
          <w:rFonts w:hint="eastAsia" w:ascii="仿宋_GB2312" w:hAnsi="仿宋" w:eastAsia="仿宋_GB2312" w:cs="仿宋"/>
          <w:bCs/>
          <w:color w:val="auto"/>
          <w:sz w:val="32"/>
          <w:szCs w:val="32"/>
        </w:rPr>
        <w:t>万人，基本实现常住人口全覆盖。</w:t>
      </w:r>
    </w:p>
    <w:p>
      <w:pPr>
        <w:keepLines w:val="0"/>
        <w:pageBreakBefore w:val="0"/>
        <w:kinsoku/>
        <w:wordWrap/>
        <w:overflowPunct/>
        <w:topLinePunct w:val="0"/>
        <w:autoSpaceDE/>
        <w:autoSpaceDN/>
        <w:bidi w:val="0"/>
        <w:adjustRightInd w:val="0"/>
        <w:snapToGrid w:val="0"/>
        <w:spacing w:line="560" w:lineRule="exact"/>
        <w:ind w:firstLine="643" w:firstLineChars="200"/>
        <w:rPr>
          <w:rStyle w:val="17"/>
          <w:rFonts w:hint="eastAsia" w:ascii="仿宋_GB2312" w:hAnsi="仿宋" w:eastAsia="仿宋_GB2312" w:cs="仿宋"/>
          <w:bCs/>
          <w:sz w:val="32"/>
          <w:szCs w:val="32"/>
        </w:rPr>
      </w:pPr>
      <w:r>
        <w:rPr>
          <w:rStyle w:val="17"/>
          <w:rFonts w:hint="eastAsia" w:ascii="仿宋_GB2312" w:hAnsi="仿宋" w:eastAsia="仿宋_GB2312" w:cs="仿宋"/>
          <w:b/>
          <w:bCs/>
          <w:sz w:val="32"/>
          <w:szCs w:val="32"/>
        </w:rPr>
        <w:t>人才队伍不断壮大。</w:t>
      </w:r>
      <w:r>
        <w:rPr>
          <w:rStyle w:val="17"/>
          <w:rFonts w:hint="eastAsia" w:ascii="仿宋_GB2312" w:hAnsi="仿宋" w:eastAsia="仿宋_GB2312" w:cs="仿宋"/>
          <w:bCs/>
          <w:sz w:val="32"/>
          <w:szCs w:val="32"/>
        </w:rPr>
        <w:t>落实</w:t>
      </w:r>
      <w:r>
        <w:rPr>
          <w:rStyle w:val="17"/>
          <w:rFonts w:hint="eastAsia" w:ascii="仿宋_GB2312" w:hAnsi="仿宋" w:eastAsia="仿宋_GB2312" w:cs="仿宋"/>
          <w:bCs/>
          <w:color w:val="auto"/>
          <w:sz w:val="32"/>
          <w:szCs w:val="32"/>
          <w:lang w:val="en-US" w:eastAsia="zh-CN"/>
        </w:rPr>
        <w:t>《汕尾市城区关于贯彻落实&lt;汕尾市红海扬帆人才计划&gt;实施意见》</w:t>
      </w:r>
      <w:r>
        <w:rPr>
          <w:rStyle w:val="17"/>
          <w:rFonts w:hint="eastAsia" w:ascii="仿宋_GB2312" w:hAnsi="仿宋" w:eastAsia="仿宋_GB2312" w:cs="仿宋"/>
          <w:bCs/>
          <w:sz w:val="32"/>
          <w:szCs w:val="32"/>
        </w:rPr>
        <w:t>，人才引进培养使用评价机制进一步完善，人才成长环境不断改善，人才规模持续扩大，人才结构进一步优化，有力支撑创新驱动发展和实体经济振兴。</w:t>
      </w:r>
    </w:p>
    <w:p>
      <w:pPr>
        <w:keepLines w:val="0"/>
        <w:pageBreakBefore w:val="0"/>
        <w:kinsoku/>
        <w:wordWrap/>
        <w:overflowPunct/>
        <w:topLinePunct w:val="0"/>
        <w:autoSpaceDE/>
        <w:autoSpaceDN/>
        <w:bidi w:val="0"/>
        <w:adjustRightInd w:val="0"/>
        <w:snapToGrid w:val="0"/>
        <w:spacing w:line="560" w:lineRule="exact"/>
        <w:ind w:firstLine="643" w:firstLineChars="200"/>
        <w:rPr>
          <w:rStyle w:val="17"/>
          <w:rFonts w:hAnsi="仿宋" w:eastAsia="仿宋_GB2312" w:cs="仿宋"/>
          <w:bCs/>
          <w:sz w:val="32"/>
          <w:szCs w:val="32"/>
        </w:rPr>
      </w:pPr>
      <w:r>
        <w:rPr>
          <w:rStyle w:val="17"/>
          <w:rFonts w:hint="eastAsia" w:hAnsi="仿宋" w:eastAsia="仿宋_GB2312" w:cs="仿宋"/>
          <w:b/>
          <w:bCs/>
          <w:sz w:val="32"/>
          <w:szCs w:val="32"/>
        </w:rPr>
        <w:t>事业单位活力明显提升。</w:t>
      </w:r>
      <w:r>
        <w:rPr>
          <w:rStyle w:val="17"/>
          <w:rFonts w:hint="eastAsia" w:hAnsi="仿宋" w:eastAsia="仿宋_GB2312" w:cs="仿宋"/>
          <w:bCs/>
          <w:color w:val="auto"/>
          <w:sz w:val="32"/>
          <w:szCs w:val="32"/>
        </w:rPr>
        <w:t>持续深化事业单位人事制度改革，配合全区推进事业单位岗位管理和人员聘用制度的建立，公开招聘扎实推进，人员流动更加便捷，平均每年新补充事业单位工作人员</w:t>
      </w:r>
      <w:r>
        <w:rPr>
          <w:rStyle w:val="17"/>
          <w:rFonts w:hAnsi="仿宋" w:eastAsia="仿宋_GB2312" w:cs="仿宋"/>
          <w:bCs/>
          <w:color w:val="auto"/>
          <w:sz w:val="32"/>
          <w:szCs w:val="32"/>
        </w:rPr>
        <w:t>200</w:t>
      </w:r>
      <w:r>
        <w:rPr>
          <w:rStyle w:val="17"/>
          <w:rFonts w:hint="eastAsia" w:hAnsi="仿宋" w:eastAsia="仿宋_GB2312" w:cs="仿宋"/>
          <w:bCs/>
          <w:color w:val="auto"/>
          <w:sz w:val="32"/>
          <w:szCs w:val="32"/>
        </w:rPr>
        <w:t>人。</w:t>
      </w:r>
      <w:r>
        <w:rPr>
          <w:rStyle w:val="17"/>
          <w:rFonts w:hint="eastAsia" w:hAnsi="仿宋" w:eastAsia="仿宋_GB2312" w:cs="仿宋"/>
          <w:bCs/>
          <w:sz w:val="32"/>
          <w:szCs w:val="32"/>
        </w:rPr>
        <w:t>事业单位绩效工资分配激励机制更加完善，事业单位基本工资标准有序调整，加大基础教育、基础医疗收入分配倾斜力度，事业单位工作人员收入水平稳步提高。</w:t>
      </w:r>
    </w:p>
    <w:p>
      <w:pPr>
        <w:keepLines w:val="0"/>
        <w:pageBreakBefore w:val="0"/>
        <w:kinsoku/>
        <w:wordWrap/>
        <w:overflowPunct/>
        <w:topLinePunct w:val="0"/>
        <w:autoSpaceDE/>
        <w:autoSpaceDN/>
        <w:bidi w:val="0"/>
        <w:adjustRightInd w:val="0"/>
        <w:snapToGrid w:val="0"/>
        <w:spacing w:line="560" w:lineRule="exact"/>
        <w:ind w:firstLine="643" w:firstLineChars="200"/>
        <w:rPr>
          <w:rStyle w:val="17"/>
          <w:rFonts w:hAnsi="仿宋" w:eastAsia="仿宋_GB2312" w:cs="仿宋"/>
          <w:bCs/>
          <w:sz w:val="32"/>
          <w:szCs w:val="32"/>
        </w:rPr>
      </w:pPr>
      <w:r>
        <w:rPr>
          <w:rStyle w:val="17"/>
          <w:rFonts w:hint="eastAsia" w:hAnsi="仿宋" w:eastAsia="仿宋_GB2312" w:cs="仿宋"/>
          <w:b/>
          <w:bCs/>
          <w:sz w:val="32"/>
          <w:szCs w:val="32"/>
        </w:rPr>
        <w:t>劳动关系总体和谐稳定。</w:t>
      </w:r>
      <w:r>
        <w:rPr>
          <w:rStyle w:val="17"/>
          <w:rFonts w:hint="eastAsia" w:hAnsi="仿宋" w:eastAsia="仿宋_GB2312" w:cs="仿宋"/>
          <w:bCs/>
          <w:sz w:val="32"/>
          <w:szCs w:val="32"/>
        </w:rPr>
        <w:t>劳动合同制度全面落实，劳动合同签订率不断提高。和谐劳动关系工作体制机制不断健全，创建和谐劳动关系示范区。劳动争议多元化化解机制趋完善，劳动人事争议调解仲裁</w:t>
      </w:r>
      <w:r>
        <w:rPr>
          <w:rStyle w:val="17"/>
          <w:rFonts w:hint="eastAsia" w:hAnsi="仿宋" w:eastAsia="仿宋_GB2312" w:cs="仿宋"/>
          <w:bCs/>
          <w:sz w:val="32"/>
          <w:szCs w:val="32"/>
          <w:lang w:eastAsia="zh-CN"/>
        </w:rPr>
        <w:t>绩效</w:t>
      </w:r>
      <w:r>
        <w:rPr>
          <w:rStyle w:val="17"/>
          <w:rFonts w:hint="eastAsia" w:hAnsi="仿宋" w:eastAsia="仿宋_GB2312" w:cs="仿宋"/>
          <w:bCs/>
          <w:sz w:val="32"/>
          <w:szCs w:val="32"/>
        </w:rPr>
        <w:t>显著提升。劳务派遣用工更加规范、政府聘员招</w:t>
      </w:r>
      <w:r>
        <w:rPr>
          <w:rStyle w:val="17"/>
          <w:rFonts w:hint="eastAsia" w:ascii="Times New Roman" w:hAnsi="仿宋" w:eastAsia="仿宋_GB2312" w:cs="仿宋"/>
          <w:bCs/>
          <w:sz w:val="32"/>
          <w:szCs w:val="32"/>
        </w:rPr>
        <w:t>聘的指导监督</w:t>
      </w:r>
      <w:r>
        <w:rPr>
          <w:rStyle w:val="17"/>
          <w:rFonts w:hint="eastAsia" w:hAnsi="仿宋" w:eastAsia="仿宋_GB2312" w:cs="仿宋"/>
          <w:bCs/>
          <w:sz w:val="32"/>
          <w:szCs w:val="32"/>
        </w:rPr>
        <w:t>更到位。劳动监察执法效能不断提升，建立健全高效快捷矛盾化解机制。举报投诉 “绿色通道”、 应急预警机制、用工实名制、工资保证金、分账管理实现基本全覆盖，不敢欠不能欠不想欠的根治欠薪制度体系逐步健全，和谐稳定的新型劳动关系逐步形成。企业薪酬调查、人工成本监测和信息发布制度进一步完善，企业职工最低工资标准稳步提</w:t>
      </w:r>
      <w:r>
        <w:rPr>
          <w:rStyle w:val="17"/>
          <w:rFonts w:hint="eastAsia" w:ascii="仿宋_GB2312" w:hAnsi="仿宋" w:eastAsia="仿宋_GB2312" w:cs="仿宋"/>
          <w:bCs/>
          <w:sz w:val="32"/>
          <w:szCs w:val="32"/>
        </w:rPr>
        <w:t>高。2020年，全</w:t>
      </w:r>
      <w:r>
        <w:rPr>
          <w:rStyle w:val="17"/>
          <w:rFonts w:hint="eastAsia" w:ascii="仿宋_GB2312" w:hAnsi="仿宋" w:eastAsia="仿宋_GB2312" w:cs="仿宋"/>
          <w:bCs/>
          <w:sz w:val="32"/>
          <w:szCs w:val="32"/>
          <w:lang w:eastAsia="zh-CN"/>
        </w:rPr>
        <w:t>区</w:t>
      </w:r>
      <w:r>
        <w:rPr>
          <w:rStyle w:val="17"/>
          <w:rFonts w:hint="eastAsia" w:ascii="仿宋_GB2312" w:hAnsi="仿宋" w:eastAsia="仿宋_GB2312" w:cs="仿宋"/>
          <w:bCs/>
          <w:sz w:val="32"/>
          <w:szCs w:val="32"/>
        </w:rPr>
        <w:t>企业劳动合同签订率达</w:t>
      </w:r>
      <w:r>
        <w:rPr>
          <w:rStyle w:val="17"/>
          <w:rFonts w:hint="eastAsia" w:ascii="仿宋_GB2312" w:hAnsi="仿宋" w:eastAsia="仿宋_GB2312" w:cs="仿宋"/>
          <w:bCs/>
          <w:sz w:val="32"/>
          <w:szCs w:val="32"/>
          <w:lang w:val="en-US" w:eastAsia="zh-CN"/>
        </w:rPr>
        <w:t>98</w:t>
      </w:r>
      <w:r>
        <w:rPr>
          <w:rStyle w:val="17"/>
          <w:rFonts w:hint="eastAsia" w:ascii="仿宋_GB2312" w:hAnsi="仿宋" w:eastAsia="仿宋_GB2312" w:cs="仿宋"/>
          <w:bCs/>
          <w:sz w:val="32"/>
          <w:szCs w:val="32"/>
        </w:rPr>
        <w:t>%，劳动人事争议调解成功率达100％，劳动人事争议仲裁结案率达100%，劳动保障监察举报投诉案件结案率达100%，最低工资标准从2015年初1010元提高到1410元，增长39.6%。</w:t>
      </w:r>
    </w:p>
    <w:p>
      <w:pPr>
        <w:keepLines w:val="0"/>
        <w:pageBreakBefore w:val="0"/>
        <w:kinsoku/>
        <w:wordWrap/>
        <w:overflowPunct/>
        <w:topLinePunct w:val="0"/>
        <w:autoSpaceDE/>
        <w:autoSpaceDN/>
        <w:bidi w:val="0"/>
        <w:adjustRightInd w:val="0"/>
        <w:snapToGrid w:val="0"/>
        <w:spacing w:line="560" w:lineRule="exact"/>
        <w:ind w:firstLine="643" w:firstLineChars="200"/>
        <w:rPr>
          <w:rFonts w:hAnsi="仿宋" w:eastAsia="仿宋_GB2312" w:cs="仿宋"/>
          <w:bCs/>
          <w:color w:val="auto"/>
          <w:sz w:val="32"/>
          <w:szCs w:val="32"/>
        </w:rPr>
      </w:pPr>
      <w:r>
        <w:rPr>
          <w:rStyle w:val="17"/>
          <w:rFonts w:hint="eastAsia" w:ascii="仿宋_GB2312" w:hAnsi="仿宋" w:eastAsia="仿宋_GB2312" w:cs="仿宋"/>
          <w:b/>
          <w:bCs/>
          <w:color w:val="auto"/>
          <w:sz w:val="32"/>
          <w:szCs w:val="32"/>
        </w:rPr>
        <w:t>基本公共服务效能明显提高。</w:t>
      </w:r>
      <w:r>
        <w:rPr>
          <w:rStyle w:val="17"/>
          <w:rFonts w:hint="eastAsia" w:ascii="仿宋_GB2312" w:hAnsi="仿宋" w:eastAsia="仿宋_GB2312" w:cs="仿宋"/>
          <w:bCs/>
          <w:color w:val="auto"/>
          <w:sz w:val="32"/>
          <w:szCs w:val="32"/>
        </w:rPr>
        <w:t>线上线下窗口服务效能显著提升</w:t>
      </w:r>
      <w:r>
        <w:rPr>
          <w:rStyle w:val="17"/>
          <w:rFonts w:hint="eastAsia" w:ascii="仿宋_GB2312" w:hAnsi="仿宋" w:eastAsia="仿宋_GB2312" w:cs="仿宋"/>
          <w:bCs/>
          <w:color w:val="auto"/>
          <w:sz w:val="32"/>
          <w:szCs w:val="32"/>
          <w:lang w:eastAsia="zh-CN"/>
        </w:rPr>
        <w:t>，</w:t>
      </w:r>
      <w:r>
        <w:rPr>
          <w:rStyle w:val="17"/>
          <w:rFonts w:hint="eastAsia" w:ascii="仿宋_GB2312" w:hAnsi="仿宋" w:eastAsia="仿宋_GB2312" w:cs="仿宋"/>
          <w:bCs/>
          <w:color w:val="auto"/>
          <w:sz w:val="32"/>
          <w:szCs w:val="32"/>
        </w:rPr>
        <w:t>依托门户网站及时发布人社政策信息，“粤省事”“省政务服务网”上线</w:t>
      </w:r>
      <w:r>
        <w:rPr>
          <w:rStyle w:val="17"/>
          <w:rFonts w:hint="eastAsia" w:ascii="仿宋_GB2312" w:hAnsi="仿宋" w:eastAsia="仿宋_GB2312" w:cs="仿宋"/>
          <w:bCs/>
          <w:color w:val="auto"/>
          <w:sz w:val="32"/>
          <w:szCs w:val="32"/>
          <w:lang w:val="en-US" w:eastAsia="zh-CN"/>
        </w:rPr>
        <w:t>199</w:t>
      </w:r>
      <w:r>
        <w:rPr>
          <w:rStyle w:val="17"/>
          <w:rFonts w:hint="eastAsia" w:ascii="仿宋_GB2312" w:hAnsi="仿宋" w:eastAsia="仿宋_GB2312" w:cs="仿宋"/>
          <w:bCs/>
          <w:color w:val="auto"/>
          <w:sz w:val="32"/>
          <w:szCs w:val="32"/>
        </w:rPr>
        <w:t>项人社服务，其中依申请+公共服务</w:t>
      </w:r>
      <w:r>
        <w:rPr>
          <w:rStyle w:val="17"/>
          <w:rFonts w:hint="eastAsia" w:ascii="仿宋_GB2312" w:hAnsi="仿宋" w:eastAsia="仿宋_GB2312" w:cs="仿宋"/>
          <w:bCs/>
          <w:color w:val="auto"/>
          <w:sz w:val="32"/>
          <w:szCs w:val="32"/>
          <w:lang w:val="en-US" w:eastAsia="zh-CN"/>
        </w:rPr>
        <w:t>82</w:t>
      </w:r>
      <w:r>
        <w:rPr>
          <w:rStyle w:val="17"/>
          <w:rFonts w:hint="eastAsia" w:ascii="仿宋_GB2312" w:hAnsi="仿宋" w:eastAsia="仿宋_GB2312" w:cs="仿宋"/>
          <w:bCs/>
          <w:color w:val="auto"/>
          <w:sz w:val="32"/>
          <w:szCs w:val="32"/>
        </w:rPr>
        <w:t>项，已实现所有事项名称、办理时限、办理材料、办理环节等要素与市规范统一。网上办比率</w:t>
      </w:r>
      <w:r>
        <w:rPr>
          <w:rStyle w:val="17"/>
          <w:rFonts w:hint="eastAsia" w:ascii="仿宋_GB2312" w:hAnsi="仿宋" w:eastAsia="仿宋_GB2312" w:cs="仿宋"/>
          <w:bCs/>
          <w:color w:val="auto"/>
          <w:sz w:val="32"/>
          <w:szCs w:val="32"/>
          <w:lang w:val="en-US" w:eastAsia="zh-CN"/>
        </w:rPr>
        <w:t>100</w:t>
      </w:r>
      <w:r>
        <w:rPr>
          <w:rStyle w:val="17"/>
          <w:rFonts w:hint="eastAsia" w:ascii="仿宋_GB2312" w:hAnsi="仿宋" w:eastAsia="仿宋_GB2312" w:cs="仿宋"/>
          <w:bCs/>
          <w:color w:val="auto"/>
          <w:sz w:val="32"/>
          <w:szCs w:val="32"/>
        </w:rPr>
        <w:t>%，全流程网办率</w:t>
      </w:r>
      <w:r>
        <w:rPr>
          <w:rStyle w:val="17"/>
          <w:rFonts w:hint="eastAsia" w:ascii="仿宋_GB2312" w:hAnsi="仿宋" w:eastAsia="仿宋_GB2312" w:cs="仿宋"/>
          <w:bCs/>
          <w:color w:val="auto"/>
          <w:sz w:val="32"/>
          <w:szCs w:val="32"/>
          <w:lang w:val="en-US" w:eastAsia="zh-CN"/>
        </w:rPr>
        <w:t>100</w:t>
      </w:r>
      <w:r>
        <w:rPr>
          <w:rStyle w:val="17"/>
          <w:rFonts w:hint="eastAsia" w:ascii="仿宋_GB2312" w:hAnsi="仿宋" w:eastAsia="仿宋_GB2312" w:cs="仿宋"/>
          <w:bCs/>
          <w:color w:val="auto"/>
          <w:sz w:val="32"/>
          <w:szCs w:val="32"/>
        </w:rPr>
        <w:t>%，承诺时限压缩比</w:t>
      </w:r>
      <w:r>
        <w:rPr>
          <w:rStyle w:val="17"/>
          <w:rFonts w:hint="eastAsia" w:ascii="仿宋_GB2312" w:hAnsi="仿宋" w:eastAsia="仿宋_GB2312" w:cs="仿宋"/>
          <w:bCs/>
          <w:color w:val="auto"/>
          <w:sz w:val="32"/>
          <w:szCs w:val="32"/>
          <w:lang w:val="en-US" w:eastAsia="zh-CN"/>
        </w:rPr>
        <w:t>97.67</w:t>
      </w:r>
      <w:r>
        <w:rPr>
          <w:rStyle w:val="17"/>
          <w:rFonts w:hint="eastAsia" w:ascii="仿宋_GB2312" w:hAnsi="仿宋" w:eastAsia="仿宋_GB2312" w:cs="仿宋"/>
          <w:bCs/>
          <w:color w:val="auto"/>
          <w:sz w:val="32"/>
          <w:szCs w:val="32"/>
        </w:rPr>
        <w:t>%。</w:t>
      </w:r>
      <w:r>
        <w:rPr>
          <w:rStyle w:val="17"/>
          <w:rFonts w:hint="eastAsia" w:ascii="仿宋_GB2312" w:hAnsi="仿宋" w:eastAsia="仿宋_GB2312" w:cs="仿宋"/>
          <w:bCs/>
          <w:color w:val="auto"/>
          <w:sz w:val="32"/>
          <w:szCs w:val="32"/>
          <w:lang w:eastAsia="zh-CN"/>
        </w:rPr>
        <w:t>区</w:t>
      </w:r>
      <w:r>
        <w:rPr>
          <w:rStyle w:val="17"/>
          <w:rFonts w:hint="eastAsia" w:ascii="仿宋_GB2312" w:hAnsi="仿宋" w:eastAsia="仿宋_GB2312" w:cs="仿宋"/>
          <w:bCs/>
          <w:color w:val="auto"/>
          <w:sz w:val="32"/>
          <w:szCs w:val="32"/>
        </w:rPr>
        <w:t>、街道（镇）、村（居）四级人力资源社会保障公共服务体系基本形成，公共服务均等化水平明显提升。</w:t>
      </w:r>
    </w:p>
    <w:p>
      <w:pPr>
        <w:keepLines w:val="0"/>
        <w:pageBreakBefore w:val="0"/>
        <w:kinsoku/>
        <w:wordWrap/>
        <w:overflowPunct/>
        <w:topLinePunct w:val="0"/>
        <w:autoSpaceDE/>
        <w:autoSpaceDN/>
        <w:bidi w:val="0"/>
        <w:adjustRightInd w:val="0"/>
        <w:snapToGrid w:val="0"/>
        <w:spacing w:line="560" w:lineRule="exact"/>
        <w:ind w:firstLine="640" w:firstLineChars="200"/>
        <w:rPr>
          <w:rFonts w:hAnsi="仿宋" w:eastAsia="仿宋_GB2312" w:cs="仿宋"/>
          <w:bCs/>
          <w:sz w:val="32"/>
          <w:szCs w:val="32"/>
        </w:rPr>
      </w:pPr>
    </w:p>
    <w:p>
      <w:pPr>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hint="eastAsia" w:ascii="Times New Roman" w:hAnsi="Times New Roman" w:eastAsia="黑体"/>
          <w:kern w:val="0"/>
          <w:sz w:val="28"/>
          <w:szCs w:val="28"/>
        </w:rPr>
      </w:pPr>
    </w:p>
    <w:p>
      <w:pPr>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hint="eastAsia" w:ascii="Times New Roman" w:hAnsi="Times New Roman" w:eastAsia="黑体"/>
          <w:kern w:val="0"/>
          <w:sz w:val="28"/>
          <w:szCs w:val="28"/>
        </w:rPr>
      </w:pPr>
    </w:p>
    <w:p>
      <w:pPr>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hint="eastAsia" w:ascii="Times New Roman" w:hAnsi="Times New Roman" w:eastAsia="黑体"/>
          <w:kern w:val="0"/>
          <w:sz w:val="28"/>
          <w:szCs w:val="28"/>
        </w:rPr>
      </w:pPr>
    </w:p>
    <w:p>
      <w:pPr>
        <w:keepLines w:val="0"/>
        <w:pageBreakBefore w:val="0"/>
        <w:kinsoku/>
        <w:wordWrap/>
        <w:overflowPunct/>
        <w:topLinePunct w:val="0"/>
        <w:autoSpaceDE/>
        <w:autoSpaceDN/>
        <w:bidi w:val="0"/>
        <w:adjustRightInd w:val="0"/>
        <w:snapToGrid w:val="0"/>
        <w:spacing w:before="120" w:beforeLines="50" w:after="120" w:afterLines="50" w:line="560" w:lineRule="exact"/>
        <w:jc w:val="center"/>
      </w:pPr>
      <w:r>
        <w:rPr>
          <w:rFonts w:hint="eastAsia" w:ascii="Times New Roman" w:hAnsi="Times New Roman" w:eastAsia="黑体"/>
          <w:kern w:val="0"/>
          <w:sz w:val="28"/>
          <w:szCs w:val="28"/>
          <w:lang w:eastAsia="zh-CN"/>
        </w:rPr>
        <w:t>专栏</w:t>
      </w:r>
      <w:r>
        <w:rPr>
          <w:rFonts w:hint="eastAsia" w:ascii="Times New Roman" w:hAnsi="Times New Roman" w:eastAsia="黑体"/>
          <w:kern w:val="0"/>
          <w:sz w:val="28"/>
          <w:szCs w:val="28"/>
          <w:lang w:val="en-US" w:eastAsia="zh-CN"/>
        </w:rPr>
        <w:t xml:space="preserve">1    </w:t>
      </w:r>
      <w:r>
        <w:rPr>
          <w:rFonts w:hint="eastAsia" w:ascii="Times New Roman" w:hAnsi="Times New Roman" w:eastAsia="黑体"/>
          <w:kern w:val="0"/>
          <w:sz w:val="28"/>
          <w:szCs w:val="28"/>
        </w:rPr>
        <w:t>汕尾市</w:t>
      </w:r>
      <w:r>
        <w:rPr>
          <w:rFonts w:hint="eastAsia" w:ascii="Times New Roman" w:hAnsi="Times New Roman" w:eastAsia="黑体"/>
          <w:kern w:val="0"/>
          <w:sz w:val="28"/>
          <w:szCs w:val="28"/>
          <w:lang w:eastAsia="zh-CN"/>
        </w:rPr>
        <w:t>城区</w:t>
      </w:r>
      <w:r>
        <w:rPr>
          <w:rFonts w:ascii="Times New Roman" w:hAnsi="Times New Roman" w:eastAsia="黑体"/>
          <w:kern w:val="0"/>
          <w:sz w:val="28"/>
          <w:szCs w:val="28"/>
        </w:rPr>
        <w:t>人社 “十三五”时期主要指标完成情况</w:t>
      </w:r>
    </w:p>
    <w:tbl>
      <w:tblPr>
        <w:tblStyle w:val="14"/>
        <w:tblW w:w="9579" w:type="dxa"/>
        <w:tblInd w:w="-37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43"/>
        <w:gridCol w:w="3536"/>
        <w:gridCol w:w="826"/>
        <w:gridCol w:w="1050"/>
        <w:gridCol w:w="1007"/>
        <w:gridCol w:w="1458"/>
        <w:gridCol w:w="10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6" w:hRule="atLeast"/>
          <w:tblHeader/>
        </w:trPr>
        <w:tc>
          <w:tcPr>
            <w:tcW w:w="643"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黑体"/>
                <w:szCs w:val="21"/>
              </w:rPr>
            </w:pPr>
            <w:r>
              <w:rPr>
                <w:rFonts w:ascii="Times New Roman" w:hAnsi="Times New Roman" w:eastAsia="黑体"/>
                <w:szCs w:val="21"/>
              </w:rPr>
              <w:t>序号</w:t>
            </w:r>
          </w:p>
        </w:tc>
        <w:tc>
          <w:tcPr>
            <w:tcW w:w="353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黑体"/>
                <w:szCs w:val="21"/>
              </w:rPr>
            </w:pPr>
            <w:r>
              <w:rPr>
                <w:rFonts w:ascii="Times New Roman" w:hAnsi="Times New Roman" w:eastAsia="黑体"/>
                <w:szCs w:val="21"/>
              </w:rPr>
              <w:t>指标</w:t>
            </w:r>
          </w:p>
        </w:tc>
        <w:tc>
          <w:tcPr>
            <w:tcW w:w="82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黑体"/>
                <w:szCs w:val="21"/>
              </w:rPr>
            </w:pPr>
            <w:r>
              <w:rPr>
                <w:rFonts w:ascii="Times New Roman" w:hAnsi="Times New Roman" w:eastAsia="黑体"/>
                <w:szCs w:val="21"/>
              </w:rPr>
              <w:t>单位</w:t>
            </w:r>
          </w:p>
        </w:tc>
        <w:tc>
          <w:tcPr>
            <w:tcW w:w="1050"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黑体"/>
                <w:szCs w:val="21"/>
              </w:rPr>
            </w:pPr>
            <w:r>
              <w:rPr>
                <w:rFonts w:ascii="Times New Roman" w:hAnsi="Times New Roman" w:eastAsia="黑体"/>
                <w:szCs w:val="21"/>
              </w:rPr>
              <w:t>目标值</w:t>
            </w:r>
          </w:p>
        </w:tc>
        <w:tc>
          <w:tcPr>
            <w:tcW w:w="1007"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黑体"/>
                <w:szCs w:val="21"/>
              </w:rPr>
            </w:pPr>
            <w:r>
              <w:rPr>
                <w:rFonts w:ascii="Times New Roman" w:hAnsi="Times New Roman" w:eastAsia="黑体"/>
                <w:szCs w:val="21"/>
              </w:rPr>
              <w:t>完成值</w:t>
            </w:r>
          </w:p>
        </w:tc>
        <w:tc>
          <w:tcPr>
            <w:tcW w:w="1458"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黑体"/>
                <w:szCs w:val="21"/>
              </w:rPr>
            </w:pPr>
            <w:r>
              <w:rPr>
                <w:rFonts w:ascii="Times New Roman" w:hAnsi="Times New Roman" w:eastAsia="黑体"/>
                <w:szCs w:val="21"/>
              </w:rPr>
              <w:t>完成率</w:t>
            </w:r>
          </w:p>
        </w:tc>
        <w:tc>
          <w:tcPr>
            <w:tcW w:w="1059"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黑体"/>
                <w:szCs w:val="21"/>
              </w:rPr>
            </w:pPr>
            <w:r>
              <w:rPr>
                <w:rFonts w:ascii="Times New Roman" w:hAnsi="Times New Roman" w:eastAsia="黑体"/>
                <w:szCs w:val="21"/>
              </w:rPr>
              <w:t>属性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6" w:hRule="atLeast"/>
        </w:trPr>
        <w:tc>
          <w:tcPr>
            <w:tcW w:w="9579" w:type="dxa"/>
            <w:gridSpan w:val="7"/>
            <w:vAlign w:val="center"/>
          </w:tcPr>
          <w:p>
            <w:pPr>
              <w:keepLines w:val="0"/>
              <w:pageBreakBefore w:val="0"/>
              <w:kinsoku/>
              <w:wordWrap/>
              <w:overflowPunct/>
              <w:topLinePunct w:val="0"/>
              <w:autoSpaceDE/>
              <w:autoSpaceDN/>
              <w:bidi w:val="0"/>
              <w:adjustRightInd w:val="0"/>
              <w:snapToGrid w:val="0"/>
              <w:spacing w:before="120" w:beforeLines="50" w:line="560" w:lineRule="exact"/>
              <w:jc w:val="left"/>
            </w:pPr>
            <w:r>
              <w:rPr>
                <w:rFonts w:hint="eastAsia" w:ascii="Times New Roman" w:hAnsi="Times New Roman" w:eastAsia="黑体"/>
                <w:szCs w:val="21"/>
              </w:rPr>
              <w:t>一、就业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rPr>
        <w:tc>
          <w:tcPr>
            <w:tcW w:w="643"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hint="eastAsia" w:ascii="Times New Roman" w:hAnsi="Times New Roman" w:eastAsia="宋体"/>
                <w:szCs w:val="21"/>
              </w:rPr>
              <w:t>1</w:t>
            </w:r>
          </w:p>
        </w:tc>
        <w:tc>
          <w:tcPr>
            <w:tcW w:w="353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left"/>
              <w:rPr>
                <w:rFonts w:ascii="Times New Roman" w:hAnsi="Times New Roman" w:eastAsia="宋体"/>
                <w:szCs w:val="21"/>
              </w:rPr>
            </w:pPr>
            <w:r>
              <w:rPr>
                <w:rFonts w:hint="eastAsia" w:ascii="Times New Roman" w:hAnsi="Times New Roman" w:eastAsia="宋体"/>
                <w:szCs w:val="21"/>
              </w:rPr>
              <w:t>城镇新增就业人数</w:t>
            </w:r>
          </w:p>
        </w:tc>
        <w:tc>
          <w:tcPr>
            <w:tcW w:w="82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hint="eastAsia" w:ascii="Times New Roman" w:hAnsi="Times New Roman" w:eastAsia="宋体"/>
                <w:szCs w:val="21"/>
              </w:rPr>
              <w:t>万人</w:t>
            </w:r>
          </w:p>
        </w:tc>
        <w:tc>
          <w:tcPr>
            <w:tcW w:w="1050"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[3]</w:t>
            </w:r>
          </w:p>
        </w:tc>
        <w:tc>
          <w:tcPr>
            <w:tcW w:w="1007"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rPr>
            </w:pPr>
            <w:r>
              <w:rPr>
                <w:rFonts w:hint="eastAsia" w:ascii="Times New Roman" w:hAnsi="Times New Roman" w:eastAsia="宋体"/>
                <w:szCs w:val="21"/>
              </w:rPr>
              <w:t>[</w:t>
            </w:r>
            <w:r>
              <w:rPr>
                <w:rFonts w:hint="eastAsia" w:ascii="Times New Roman" w:hAnsi="Times New Roman" w:eastAsia="宋体"/>
                <w:szCs w:val="21"/>
                <w:lang w:val="en-US" w:eastAsia="zh-CN"/>
              </w:rPr>
              <w:t>3.02]</w:t>
            </w:r>
          </w:p>
        </w:tc>
        <w:tc>
          <w:tcPr>
            <w:tcW w:w="1458"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rPr>
              <w:t>10</w:t>
            </w:r>
            <w:r>
              <w:rPr>
                <w:rFonts w:hint="eastAsia" w:ascii="Times New Roman" w:hAnsi="Times New Roman" w:eastAsia="宋体"/>
                <w:szCs w:val="21"/>
                <w:lang w:val="en-US" w:eastAsia="zh-CN"/>
              </w:rPr>
              <w:t>6.8%</w:t>
            </w:r>
          </w:p>
        </w:tc>
        <w:tc>
          <w:tcPr>
            <w:tcW w:w="1059"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hint="eastAsia" w:ascii="Times New Roman" w:hAnsi="Times New Roman" w:eastAsia="宋体"/>
                <w:szCs w:val="21"/>
              </w:rPr>
              <w:t>预期性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643"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hint="eastAsia" w:ascii="Times New Roman" w:hAnsi="Times New Roman" w:eastAsia="宋体"/>
                <w:szCs w:val="21"/>
              </w:rPr>
              <w:t>2</w:t>
            </w:r>
          </w:p>
        </w:tc>
        <w:tc>
          <w:tcPr>
            <w:tcW w:w="353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left"/>
              <w:rPr>
                <w:rFonts w:ascii="Times New Roman" w:hAnsi="Times New Roman" w:eastAsia="宋体"/>
                <w:szCs w:val="21"/>
              </w:rPr>
            </w:pPr>
            <w:r>
              <w:rPr>
                <w:rFonts w:hint="eastAsia" w:ascii="Times New Roman" w:hAnsi="Times New Roman" w:eastAsia="宋体"/>
                <w:szCs w:val="21"/>
              </w:rPr>
              <w:t>城镇登记失业率</w:t>
            </w:r>
          </w:p>
        </w:tc>
        <w:tc>
          <w:tcPr>
            <w:tcW w:w="82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hint="eastAsia" w:ascii="Times New Roman" w:hAnsi="Times New Roman" w:eastAsia="宋体"/>
                <w:szCs w:val="21"/>
              </w:rPr>
              <w:t>%</w:t>
            </w:r>
          </w:p>
        </w:tc>
        <w:tc>
          <w:tcPr>
            <w:tcW w:w="1050"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hint="eastAsia" w:ascii="Times New Roman" w:hAnsi="Times New Roman" w:eastAsia="宋体"/>
                <w:szCs w:val="21"/>
              </w:rPr>
              <w:t>3.0以内</w:t>
            </w:r>
          </w:p>
        </w:tc>
        <w:tc>
          <w:tcPr>
            <w:tcW w:w="1007"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hint="eastAsia" w:ascii="Times New Roman" w:hAnsi="Times New Roman" w:eastAsia="宋体"/>
                <w:szCs w:val="21"/>
              </w:rPr>
              <w:t>3.0以内</w:t>
            </w:r>
          </w:p>
        </w:tc>
        <w:tc>
          <w:tcPr>
            <w:tcW w:w="1458"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hint="eastAsia" w:ascii="Times New Roman" w:hAnsi="Times New Roman" w:eastAsia="宋体"/>
                <w:szCs w:val="21"/>
              </w:rPr>
              <w:t>100</w:t>
            </w:r>
          </w:p>
        </w:tc>
        <w:tc>
          <w:tcPr>
            <w:tcW w:w="1059"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hint="eastAsia" w:ascii="Times New Roman" w:hAnsi="Times New Roman" w:eastAsia="宋体"/>
                <w:szCs w:val="21"/>
              </w:rPr>
              <w:t>预期性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9579" w:type="dxa"/>
            <w:gridSpan w:val="7"/>
            <w:vAlign w:val="center"/>
          </w:tcPr>
          <w:p>
            <w:pPr>
              <w:keepLines w:val="0"/>
              <w:pageBreakBefore w:val="0"/>
              <w:kinsoku/>
              <w:wordWrap/>
              <w:overflowPunct/>
              <w:topLinePunct w:val="0"/>
              <w:autoSpaceDE/>
              <w:autoSpaceDN/>
              <w:bidi w:val="0"/>
              <w:adjustRightInd w:val="0"/>
              <w:snapToGrid w:val="0"/>
              <w:spacing w:before="120" w:beforeLines="50" w:line="560" w:lineRule="exact"/>
              <w:jc w:val="left"/>
            </w:pPr>
            <w:r>
              <w:rPr>
                <w:rFonts w:hint="eastAsia" w:ascii="Times New Roman" w:hAnsi="Times New Roman" w:eastAsia="黑体"/>
                <w:szCs w:val="21"/>
              </w:rPr>
              <w:t>二、社会保险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1" w:hRule="atLeast"/>
        </w:trPr>
        <w:tc>
          <w:tcPr>
            <w:tcW w:w="643"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3</w:t>
            </w:r>
          </w:p>
        </w:tc>
        <w:tc>
          <w:tcPr>
            <w:tcW w:w="3536" w:type="dxa"/>
            <w:vAlign w:val="center"/>
          </w:tcPr>
          <w:p>
            <w:pPr>
              <w:keepLines w:val="0"/>
              <w:pageBreakBefore w:val="0"/>
              <w:kinsoku/>
              <w:wordWrap/>
              <w:overflowPunct/>
              <w:topLinePunct w:val="0"/>
              <w:autoSpaceDE/>
              <w:autoSpaceDN/>
              <w:bidi w:val="0"/>
              <w:adjustRightInd w:val="0"/>
              <w:snapToGrid w:val="0"/>
              <w:spacing w:before="120" w:beforeLines="50" w:line="560" w:lineRule="exact"/>
              <w:rPr>
                <w:rFonts w:ascii="Times New Roman" w:hAnsi="Times New Roman" w:eastAsia="宋体"/>
                <w:szCs w:val="21"/>
              </w:rPr>
            </w:pPr>
            <w:r>
              <w:rPr>
                <w:rFonts w:ascii="Times New Roman" w:hAnsi="Times New Roman" w:eastAsia="宋体"/>
                <w:szCs w:val="21"/>
              </w:rPr>
              <w:t>基本养老保险参保率</w:t>
            </w:r>
          </w:p>
        </w:tc>
        <w:tc>
          <w:tcPr>
            <w:tcW w:w="82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w:t>
            </w:r>
          </w:p>
        </w:tc>
        <w:tc>
          <w:tcPr>
            <w:tcW w:w="1050"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98</w:t>
            </w:r>
          </w:p>
        </w:tc>
        <w:tc>
          <w:tcPr>
            <w:tcW w:w="1007"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91</w:t>
            </w:r>
          </w:p>
        </w:tc>
        <w:tc>
          <w:tcPr>
            <w:tcW w:w="1458"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 w:val="18"/>
                <w:szCs w:val="18"/>
              </w:rPr>
            </w:pPr>
            <w:r>
              <w:rPr>
                <w:rFonts w:hint="eastAsia" w:ascii="Times New Roman" w:hAnsi="Times New Roman" w:eastAsia="宋体"/>
                <w:sz w:val="18"/>
                <w:szCs w:val="18"/>
              </w:rPr>
              <w:t>统计口径调整</w:t>
            </w:r>
          </w:p>
        </w:tc>
        <w:tc>
          <w:tcPr>
            <w:tcW w:w="1059" w:type="dxa"/>
            <w:vAlign w:val="center"/>
          </w:tcPr>
          <w:p>
            <w:pPr>
              <w:keepNext/>
              <w:keepLines w:val="0"/>
              <w:pageBreakBefore w:val="0"/>
              <w:widowControl/>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预期性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3" w:hRule="atLeast"/>
        </w:trPr>
        <w:tc>
          <w:tcPr>
            <w:tcW w:w="643"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4</w:t>
            </w:r>
          </w:p>
        </w:tc>
        <w:tc>
          <w:tcPr>
            <w:tcW w:w="3536" w:type="dxa"/>
            <w:vAlign w:val="center"/>
          </w:tcPr>
          <w:p>
            <w:pPr>
              <w:keepLines w:val="0"/>
              <w:pageBreakBefore w:val="0"/>
              <w:kinsoku/>
              <w:wordWrap/>
              <w:overflowPunct/>
              <w:topLinePunct w:val="0"/>
              <w:autoSpaceDE/>
              <w:autoSpaceDN/>
              <w:bidi w:val="0"/>
              <w:adjustRightInd w:val="0"/>
              <w:snapToGrid w:val="0"/>
              <w:spacing w:before="120" w:beforeLines="50" w:line="560" w:lineRule="exact"/>
              <w:rPr>
                <w:rFonts w:ascii="Times New Roman" w:hAnsi="Times New Roman" w:eastAsia="宋体"/>
                <w:szCs w:val="21"/>
              </w:rPr>
            </w:pPr>
            <w:r>
              <w:rPr>
                <w:rFonts w:ascii="Times New Roman" w:hAnsi="Times New Roman" w:eastAsia="宋体"/>
                <w:szCs w:val="21"/>
              </w:rPr>
              <w:t>失业保险参保人数</w:t>
            </w:r>
          </w:p>
        </w:tc>
        <w:tc>
          <w:tcPr>
            <w:tcW w:w="82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 w:val="20"/>
                <w:szCs w:val="20"/>
              </w:rPr>
              <w:t>万人</w:t>
            </w:r>
          </w:p>
        </w:tc>
        <w:tc>
          <w:tcPr>
            <w:tcW w:w="1050"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3.5</w:t>
            </w:r>
          </w:p>
        </w:tc>
        <w:tc>
          <w:tcPr>
            <w:tcW w:w="1007"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0.75</w:t>
            </w:r>
          </w:p>
        </w:tc>
        <w:tc>
          <w:tcPr>
            <w:tcW w:w="1458"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 w:val="18"/>
                <w:szCs w:val="18"/>
              </w:rPr>
            </w:pPr>
            <w:r>
              <w:rPr>
                <w:rFonts w:hint="eastAsia" w:ascii="Times New Roman" w:hAnsi="Times New Roman" w:eastAsia="宋体"/>
                <w:sz w:val="18"/>
                <w:szCs w:val="18"/>
              </w:rPr>
              <w:t>统计口径调整</w:t>
            </w:r>
          </w:p>
        </w:tc>
        <w:tc>
          <w:tcPr>
            <w:tcW w:w="1059"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约束性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3" w:hRule="atLeast"/>
        </w:trPr>
        <w:tc>
          <w:tcPr>
            <w:tcW w:w="643"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5</w:t>
            </w:r>
          </w:p>
        </w:tc>
        <w:tc>
          <w:tcPr>
            <w:tcW w:w="3536" w:type="dxa"/>
            <w:vAlign w:val="center"/>
          </w:tcPr>
          <w:p>
            <w:pPr>
              <w:keepLines w:val="0"/>
              <w:pageBreakBefore w:val="0"/>
              <w:kinsoku/>
              <w:wordWrap/>
              <w:overflowPunct/>
              <w:topLinePunct w:val="0"/>
              <w:autoSpaceDE/>
              <w:autoSpaceDN/>
              <w:bidi w:val="0"/>
              <w:adjustRightInd w:val="0"/>
              <w:snapToGrid w:val="0"/>
              <w:spacing w:before="120" w:beforeLines="50" w:line="560" w:lineRule="exact"/>
              <w:rPr>
                <w:rFonts w:ascii="Times New Roman" w:hAnsi="Times New Roman" w:eastAsia="宋体"/>
                <w:szCs w:val="21"/>
              </w:rPr>
            </w:pPr>
            <w:r>
              <w:rPr>
                <w:rFonts w:ascii="Times New Roman" w:hAnsi="Times New Roman" w:eastAsia="宋体"/>
                <w:szCs w:val="21"/>
              </w:rPr>
              <w:t>工伤保险参保人数</w:t>
            </w:r>
          </w:p>
        </w:tc>
        <w:tc>
          <w:tcPr>
            <w:tcW w:w="82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 w:val="20"/>
                <w:szCs w:val="20"/>
              </w:rPr>
            </w:pPr>
            <w:r>
              <w:rPr>
                <w:rFonts w:ascii="Times New Roman" w:hAnsi="Times New Roman" w:eastAsia="宋体"/>
                <w:sz w:val="20"/>
                <w:szCs w:val="20"/>
              </w:rPr>
              <w:t>万人</w:t>
            </w:r>
          </w:p>
        </w:tc>
        <w:tc>
          <w:tcPr>
            <w:tcW w:w="1050"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4.9</w:t>
            </w:r>
          </w:p>
        </w:tc>
        <w:tc>
          <w:tcPr>
            <w:tcW w:w="1007"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1.26</w:t>
            </w:r>
          </w:p>
        </w:tc>
        <w:tc>
          <w:tcPr>
            <w:tcW w:w="1458"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both"/>
              <w:rPr>
                <w:rFonts w:ascii="Times New Roman" w:hAnsi="Times New Roman" w:eastAsia="宋体"/>
                <w:sz w:val="18"/>
                <w:szCs w:val="18"/>
              </w:rPr>
            </w:pPr>
            <w:r>
              <w:rPr>
                <w:rFonts w:hint="eastAsia" w:ascii="Times New Roman" w:hAnsi="Times New Roman" w:eastAsia="宋体"/>
                <w:sz w:val="18"/>
                <w:szCs w:val="18"/>
              </w:rPr>
              <w:t>统计口径调整</w:t>
            </w:r>
          </w:p>
        </w:tc>
        <w:tc>
          <w:tcPr>
            <w:tcW w:w="1059"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约束性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579" w:type="dxa"/>
            <w:gridSpan w:val="7"/>
            <w:vAlign w:val="center"/>
          </w:tcPr>
          <w:p>
            <w:pPr>
              <w:keepLines w:val="0"/>
              <w:pageBreakBefore w:val="0"/>
              <w:kinsoku/>
              <w:wordWrap/>
              <w:overflowPunct/>
              <w:topLinePunct w:val="0"/>
              <w:autoSpaceDE/>
              <w:autoSpaceDN/>
              <w:bidi w:val="0"/>
              <w:adjustRightInd w:val="0"/>
              <w:snapToGrid w:val="0"/>
              <w:spacing w:before="120" w:beforeLines="50" w:line="560" w:lineRule="exact"/>
              <w:jc w:val="left"/>
            </w:pPr>
            <w:r>
              <w:rPr>
                <w:rFonts w:hint="eastAsia" w:ascii="Times New Roman" w:hAnsi="Times New Roman" w:eastAsia="黑体"/>
                <w:szCs w:val="21"/>
              </w:rPr>
              <w:t>三、人才队伍建设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643"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6</w:t>
            </w:r>
          </w:p>
        </w:tc>
        <w:tc>
          <w:tcPr>
            <w:tcW w:w="353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left"/>
              <w:rPr>
                <w:rFonts w:ascii="Times New Roman" w:hAnsi="Times New Roman" w:eastAsia="宋体"/>
                <w:szCs w:val="21"/>
              </w:rPr>
            </w:pPr>
            <w:r>
              <w:rPr>
                <w:rFonts w:ascii="Times New Roman" w:hAnsi="Times New Roman" w:eastAsia="宋体"/>
                <w:szCs w:val="21"/>
              </w:rPr>
              <w:t>专业技术人才总量</w:t>
            </w:r>
          </w:p>
        </w:tc>
        <w:tc>
          <w:tcPr>
            <w:tcW w:w="82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 w:val="20"/>
                <w:szCs w:val="20"/>
              </w:rPr>
            </w:pPr>
            <w:r>
              <w:rPr>
                <w:rFonts w:ascii="Times New Roman" w:hAnsi="Times New Roman" w:eastAsia="宋体"/>
                <w:sz w:val="20"/>
                <w:szCs w:val="20"/>
              </w:rPr>
              <w:t>万人</w:t>
            </w:r>
          </w:p>
        </w:tc>
        <w:tc>
          <w:tcPr>
            <w:tcW w:w="1050"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0.61</w:t>
            </w:r>
          </w:p>
        </w:tc>
        <w:tc>
          <w:tcPr>
            <w:tcW w:w="1007"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0.47</w:t>
            </w:r>
          </w:p>
        </w:tc>
        <w:tc>
          <w:tcPr>
            <w:tcW w:w="1458"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77%</w:t>
            </w:r>
          </w:p>
        </w:tc>
        <w:tc>
          <w:tcPr>
            <w:tcW w:w="1059"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预期性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579" w:type="dxa"/>
            <w:gridSpan w:val="7"/>
            <w:vAlign w:val="center"/>
          </w:tcPr>
          <w:p>
            <w:pPr>
              <w:keepLines w:val="0"/>
              <w:pageBreakBefore w:val="0"/>
              <w:kinsoku/>
              <w:wordWrap/>
              <w:overflowPunct/>
              <w:topLinePunct w:val="0"/>
              <w:autoSpaceDE/>
              <w:autoSpaceDN/>
              <w:bidi w:val="0"/>
              <w:adjustRightInd w:val="0"/>
              <w:snapToGrid w:val="0"/>
              <w:spacing w:before="120" w:beforeLines="50" w:line="560" w:lineRule="exact"/>
              <w:jc w:val="left"/>
              <w:rPr>
                <w:rFonts w:ascii="Times New Roman" w:hAnsi="Times New Roman" w:eastAsia="宋体"/>
                <w:szCs w:val="21"/>
              </w:rPr>
            </w:pPr>
            <w:r>
              <w:rPr>
                <w:rFonts w:hint="eastAsia" w:ascii="Times New Roman" w:hAnsi="Times New Roman" w:eastAsia="黑体"/>
                <w:szCs w:val="21"/>
              </w:rPr>
              <w:t>四、劳动关系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43"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9</w:t>
            </w:r>
          </w:p>
        </w:tc>
        <w:tc>
          <w:tcPr>
            <w:tcW w:w="353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left"/>
              <w:rPr>
                <w:rFonts w:ascii="Times New Roman" w:hAnsi="Times New Roman" w:eastAsia="宋体"/>
                <w:szCs w:val="21"/>
              </w:rPr>
            </w:pPr>
            <w:r>
              <w:rPr>
                <w:rFonts w:ascii="Times New Roman" w:hAnsi="Times New Roman" w:eastAsia="宋体"/>
                <w:szCs w:val="21"/>
              </w:rPr>
              <w:t>企业劳动合同签订率</w:t>
            </w:r>
          </w:p>
        </w:tc>
        <w:tc>
          <w:tcPr>
            <w:tcW w:w="82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w:t>
            </w:r>
          </w:p>
        </w:tc>
        <w:tc>
          <w:tcPr>
            <w:tcW w:w="1050"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lang w:eastAsia="zh-CN"/>
              </w:rPr>
            </w:pPr>
            <w:r>
              <w:rPr>
                <w:rFonts w:ascii="Times New Roman" w:hAnsi="Times New Roman" w:eastAsia="宋体"/>
                <w:szCs w:val="21"/>
              </w:rPr>
              <w:t>9</w:t>
            </w:r>
            <w:r>
              <w:rPr>
                <w:rFonts w:hint="eastAsia" w:ascii="Times New Roman" w:hAnsi="Times New Roman" w:eastAsia="宋体"/>
                <w:szCs w:val="21"/>
                <w:lang w:val="en-US" w:eastAsia="zh-CN"/>
              </w:rPr>
              <w:t>5</w:t>
            </w:r>
          </w:p>
        </w:tc>
        <w:tc>
          <w:tcPr>
            <w:tcW w:w="1007"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lang w:eastAsia="zh-CN"/>
              </w:rPr>
            </w:pPr>
            <w:r>
              <w:rPr>
                <w:rFonts w:hint="eastAsia" w:ascii="Times New Roman" w:hAnsi="Times New Roman" w:eastAsia="宋体"/>
                <w:szCs w:val="21"/>
              </w:rPr>
              <w:t>98.</w:t>
            </w:r>
            <w:r>
              <w:rPr>
                <w:rFonts w:hint="eastAsia" w:ascii="Times New Roman" w:hAnsi="Times New Roman" w:eastAsia="宋体"/>
                <w:szCs w:val="21"/>
                <w:lang w:val="en-US" w:eastAsia="zh-CN"/>
              </w:rPr>
              <w:t>0</w:t>
            </w:r>
          </w:p>
        </w:tc>
        <w:tc>
          <w:tcPr>
            <w:tcW w:w="1458"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103%</w:t>
            </w:r>
          </w:p>
        </w:tc>
        <w:tc>
          <w:tcPr>
            <w:tcW w:w="1059"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预期性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43"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10</w:t>
            </w:r>
          </w:p>
        </w:tc>
        <w:tc>
          <w:tcPr>
            <w:tcW w:w="353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left"/>
              <w:rPr>
                <w:rFonts w:ascii="Times New Roman" w:hAnsi="Times New Roman" w:eastAsia="宋体"/>
                <w:szCs w:val="21"/>
              </w:rPr>
            </w:pPr>
            <w:r>
              <w:rPr>
                <w:rFonts w:ascii="Times New Roman" w:hAnsi="Times New Roman" w:eastAsia="宋体"/>
                <w:szCs w:val="21"/>
              </w:rPr>
              <w:t>劳动人事争议调解成功率</w:t>
            </w:r>
          </w:p>
        </w:tc>
        <w:tc>
          <w:tcPr>
            <w:tcW w:w="82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w:t>
            </w:r>
          </w:p>
        </w:tc>
        <w:tc>
          <w:tcPr>
            <w:tcW w:w="1050"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&gt;60</w:t>
            </w:r>
          </w:p>
        </w:tc>
        <w:tc>
          <w:tcPr>
            <w:tcW w:w="1007"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75.98</w:t>
            </w:r>
          </w:p>
        </w:tc>
        <w:tc>
          <w:tcPr>
            <w:tcW w:w="1458"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126%</w:t>
            </w:r>
          </w:p>
        </w:tc>
        <w:tc>
          <w:tcPr>
            <w:tcW w:w="1059"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预期性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atLeast"/>
        </w:trPr>
        <w:tc>
          <w:tcPr>
            <w:tcW w:w="643"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11</w:t>
            </w:r>
          </w:p>
        </w:tc>
        <w:tc>
          <w:tcPr>
            <w:tcW w:w="353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left"/>
              <w:rPr>
                <w:rFonts w:ascii="Times New Roman" w:hAnsi="Times New Roman" w:eastAsia="宋体"/>
                <w:szCs w:val="21"/>
              </w:rPr>
            </w:pPr>
            <w:r>
              <w:rPr>
                <w:rFonts w:ascii="Times New Roman" w:hAnsi="Times New Roman" w:eastAsia="宋体"/>
                <w:szCs w:val="21"/>
              </w:rPr>
              <w:t>劳动人事争议仲裁结案率</w:t>
            </w:r>
          </w:p>
        </w:tc>
        <w:tc>
          <w:tcPr>
            <w:tcW w:w="82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w:t>
            </w:r>
          </w:p>
        </w:tc>
        <w:tc>
          <w:tcPr>
            <w:tcW w:w="1050"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100</w:t>
            </w:r>
          </w:p>
        </w:tc>
        <w:tc>
          <w:tcPr>
            <w:tcW w:w="1007"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hint="eastAsia" w:ascii="Times New Roman" w:hAnsi="Times New Roman" w:eastAsia="宋体"/>
                <w:szCs w:val="21"/>
              </w:rPr>
              <w:t>100</w:t>
            </w:r>
          </w:p>
        </w:tc>
        <w:tc>
          <w:tcPr>
            <w:tcW w:w="1458"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lang w:val="en-US" w:eastAsia="zh-CN"/>
              </w:rPr>
            </w:pPr>
            <w:r>
              <w:rPr>
                <w:rFonts w:hint="eastAsia" w:ascii="Times New Roman" w:hAnsi="Times New Roman" w:eastAsia="宋体"/>
                <w:szCs w:val="21"/>
              </w:rPr>
              <w:t>100</w:t>
            </w:r>
            <w:r>
              <w:rPr>
                <w:rFonts w:hint="eastAsia" w:ascii="Times New Roman" w:hAnsi="Times New Roman" w:eastAsia="宋体"/>
                <w:szCs w:val="21"/>
                <w:lang w:val="en-US" w:eastAsia="zh-CN"/>
              </w:rPr>
              <w:t>%</w:t>
            </w:r>
          </w:p>
        </w:tc>
        <w:tc>
          <w:tcPr>
            <w:tcW w:w="1059"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预期性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1" w:hRule="atLeast"/>
        </w:trPr>
        <w:tc>
          <w:tcPr>
            <w:tcW w:w="643"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12</w:t>
            </w:r>
          </w:p>
        </w:tc>
        <w:tc>
          <w:tcPr>
            <w:tcW w:w="353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left"/>
              <w:rPr>
                <w:rFonts w:ascii="Times New Roman" w:hAnsi="Times New Roman" w:eastAsia="宋体"/>
                <w:szCs w:val="21"/>
              </w:rPr>
            </w:pPr>
            <w:r>
              <w:rPr>
                <w:rFonts w:ascii="Times New Roman" w:hAnsi="Times New Roman" w:eastAsia="宋体"/>
                <w:szCs w:val="21"/>
              </w:rPr>
              <w:t>劳动保障监察举报投诉案件结案率</w:t>
            </w:r>
          </w:p>
        </w:tc>
        <w:tc>
          <w:tcPr>
            <w:tcW w:w="82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w:t>
            </w:r>
          </w:p>
        </w:tc>
        <w:tc>
          <w:tcPr>
            <w:tcW w:w="1050"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100</w:t>
            </w:r>
          </w:p>
        </w:tc>
        <w:tc>
          <w:tcPr>
            <w:tcW w:w="1007"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hint="eastAsia" w:ascii="Times New Roman" w:hAnsi="Times New Roman" w:eastAsia="宋体"/>
                <w:szCs w:val="21"/>
              </w:rPr>
              <w:t>100</w:t>
            </w:r>
          </w:p>
        </w:tc>
        <w:tc>
          <w:tcPr>
            <w:tcW w:w="1458"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lang w:val="en-US" w:eastAsia="zh-CN"/>
              </w:rPr>
            </w:pPr>
            <w:r>
              <w:rPr>
                <w:rFonts w:hint="eastAsia" w:ascii="Times New Roman" w:hAnsi="Times New Roman" w:eastAsia="宋体"/>
                <w:szCs w:val="21"/>
              </w:rPr>
              <w:t>100</w:t>
            </w:r>
            <w:r>
              <w:rPr>
                <w:rFonts w:hint="eastAsia" w:ascii="Times New Roman" w:hAnsi="Times New Roman" w:eastAsia="宋体"/>
                <w:szCs w:val="21"/>
                <w:lang w:val="en-US" w:eastAsia="zh-CN"/>
              </w:rPr>
              <w:t>%</w:t>
            </w:r>
          </w:p>
        </w:tc>
        <w:tc>
          <w:tcPr>
            <w:tcW w:w="1059"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约束性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9579" w:type="dxa"/>
            <w:gridSpan w:val="7"/>
            <w:vAlign w:val="center"/>
          </w:tcPr>
          <w:p>
            <w:pPr>
              <w:keepLines w:val="0"/>
              <w:pageBreakBefore w:val="0"/>
              <w:kinsoku/>
              <w:wordWrap/>
              <w:overflowPunct/>
              <w:topLinePunct w:val="0"/>
              <w:autoSpaceDE/>
              <w:autoSpaceDN/>
              <w:bidi w:val="0"/>
              <w:adjustRightInd w:val="0"/>
              <w:snapToGrid w:val="0"/>
              <w:spacing w:before="120" w:beforeLines="50" w:line="560" w:lineRule="exact"/>
              <w:jc w:val="left"/>
              <w:rPr>
                <w:rFonts w:ascii="Times New Roman" w:hAnsi="Times New Roman" w:eastAsia="黑体"/>
                <w:szCs w:val="21"/>
              </w:rPr>
            </w:pPr>
            <w:r>
              <w:rPr>
                <w:rFonts w:ascii="Times New Roman" w:hAnsi="Times New Roman" w:eastAsia="黑体"/>
                <w:szCs w:val="21"/>
              </w:rPr>
              <w:t>五、公共服务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643"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13</w:t>
            </w:r>
          </w:p>
        </w:tc>
        <w:tc>
          <w:tcPr>
            <w:tcW w:w="353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left"/>
              <w:rPr>
                <w:rFonts w:ascii="Times New Roman" w:hAnsi="Times New Roman" w:eastAsia="宋体"/>
                <w:szCs w:val="21"/>
              </w:rPr>
            </w:pPr>
            <w:r>
              <w:rPr>
                <w:rFonts w:ascii="Times New Roman" w:hAnsi="Times New Roman" w:eastAsia="宋体"/>
                <w:szCs w:val="21"/>
              </w:rPr>
              <w:t>社会保障卡持卡人口覆盖率</w:t>
            </w:r>
          </w:p>
        </w:tc>
        <w:tc>
          <w:tcPr>
            <w:tcW w:w="826"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w:t>
            </w:r>
          </w:p>
        </w:tc>
        <w:tc>
          <w:tcPr>
            <w:tcW w:w="1050"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100</w:t>
            </w:r>
          </w:p>
        </w:tc>
        <w:tc>
          <w:tcPr>
            <w:tcW w:w="1007"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hint="eastAsia" w:ascii="Times New Roman" w:hAnsi="Times New Roman" w:eastAsia="宋体"/>
                <w:szCs w:val="21"/>
              </w:rPr>
              <w:t>100</w:t>
            </w:r>
          </w:p>
        </w:tc>
        <w:tc>
          <w:tcPr>
            <w:tcW w:w="1458"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lang w:val="en-US" w:eastAsia="zh-CN"/>
              </w:rPr>
            </w:pPr>
            <w:r>
              <w:rPr>
                <w:rFonts w:hint="eastAsia" w:ascii="Times New Roman" w:hAnsi="Times New Roman" w:eastAsia="宋体"/>
                <w:szCs w:val="21"/>
              </w:rPr>
              <w:t>100</w:t>
            </w:r>
            <w:r>
              <w:rPr>
                <w:rFonts w:hint="eastAsia" w:ascii="Times New Roman" w:hAnsi="Times New Roman" w:eastAsia="宋体"/>
                <w:szCs w:val="21"/>
                <w:lang w:val="en-US" w:eastAsia="zh-CN"/>
              </w:rPr>
              <w:t>%</w:t>
            </w:r>
          </w:p>
        </w:tc>
        <w:tc>
          <w:tcPr>
            <w:tcW w:w="1059" w:type="dxa"/>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ascii="Times New Roman" w:hAnsi="Times New Roman" w:eastAsia="宋体"/>
                <w:szCs w:val="21"/>
              </w:rPr>
            </w:pPr>
            <w:r>
              <w:rPr>
                <w:rFonts w:ascii="Times New Roman" w:hAnsi="Times New Roman" w:eastAsia="宋体"/>
                <w:szCs w:val="21"/>
              </w:rPr>
              <w:t>预期性</w:t>
            </w:r>
          </w:p>
        </w:tc>
      </w:tr>
    </w:tbl>
    <w:p>
      <w:pPr>
        <w:keepLines w:val="0"/>
        <w:pageBreakBefore w:val="0"/>
        <w:kinsoku/>
        <w:wordWrap/>
        <w:overflowPunct/>
        <w:topLinePunct w:val="0"/>
        <w:autoSpaceDE/>
        <w:autoSpaceDN/>
        <w:bidi w:val="0"/>
        <w:spacing w:line="560" w:lineRule="exact"/>
        <w:rPr>
          <w:rFonts w:ascii="Times New Roman" w:hAnsi="Times New Roman" w:eastAsia="楷体"/>
          <w:szCs w:val="21"/>
        </w:rPr>
      </w:pPr>
      <w:r>
        <w:rPr>
          <w:rFonts w:ascii="Times New Roman" w:hAnsi="Times New Roman" w:eastAsia="楷体"/>
          <w:szCs w:val="21"/>
        </w:rPr>
        <w:t>注：[  ]为累计数。</w:t>
      </w: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Cambria" w:hAnsi="Cambria" w:eastAsia="楷体_GB2312"/>
          <w:color w:val="000000"/>
          <w:sz w:val="34"/>
        </w:rPr>
      </w:pPr>
      <w:bookmarkStart w:id="5" w:name="_Toc25179"/>
      <w:bookmarkStart w:id="6" w:name="_Toc13382"/>
      <w:r>
        <w:rPr>
          <w:rFonts w:hint="eastAsia" w:ascii="Cambria" w:hAnsi="Cambria" w:eastAsia="楷体_GB2312"/>
          <w:color w:val="000000"/>
          <w:sz w:val="34"/>
        </w:rPr>
        <w:t>第二节  机遇挑战</w:t>
      </w:r>
      <w:bookmarkEnd w:id="5"/>
      <w:bookmarkEnd w:id="6"/>
    </w:p>
    <w:p>
      <w:pPr>
        <w:keepLines w:val="0"/>
        <w:pageBreakBefore w:val="0"/>
        <w:kinsoku/>
        <w:wordWrap/>
        <w:overflowPunct/>
        <w:topLinePunct w:val="0"/>
        <w:autoSpaceDE/>
        <w:autoSpaceDN/>
        <w:bidi w:val="0"/>
        <w:adjustRightInd w:val="0"/>
        <w:snapToGrid w:val="0"/>
        <w:spacing w:line="560" w:lineRule="exact"/>
        <w:ind w:firstLine="640" w:firstLineChars="200"/>
        <w:rPr>
          <w:rStyle w:val="17"/>
          <w:rFonts w:hint="eastAsia" w:ascii="仿宋_GB2312" w:hAnsi="仿宋" w:eastAsia="仿宋_GB2312" w:cs="仿宋"/>
          <w:bCs/>
          <w:sz w:val="32"/>
          <w:szCs w:val="32"/>
        </w:rPr>
      </w:pPr>
      <w:r>
        <w:rPr>
          <w:rStyle w:val="17"/>
          <w:rFonts w:hint="eastAsia" w:ascii="仿宋_GB2312" w:hAnsi="仿宋" w:eastAsia="仿宋_GB2312" w:cs="仿宋"/>
          <w:bCs/>
          <w:sz w:val="32"/>
          <w:szCs w:val="32"/>
        </w:rPr>
        <w:t>“十四五”时期，是我国在全面建成小康社会基础上，乘势而上全面开启建设社会主义现代化国家新征程的第一个五年。既面临世界百年未有之大变局的新机遇、新挑战，又面临着新时期主要矛盾变化的新任务、新要求。</w:t>
      </w:r>
      <w:r>
        <w:rPr>
          <w:rStyle w:val="17"/>
          <w:rFonts w:hint="eastAsia" w:ascii="仿宋_GB2312" w:hAnsi="仿宋" w:eastAsia="仿宋_GB2312" w:cs="仿宋"/>
          <w:bCs/>
          <w:sz w:val="32"/>
          <w:szCs w:val="32"/>
          <w:lang w:eastAsia="zh-CN"/>
        </w:rPr>
        <w:t>城区</w:t>
      </w:r>
      <w:r>
        <w:rPr>
          <w:rStyle w:val="17"/>
          <w:rFonts w:hint="eastAsia" w:ascii="仿宋_GB2312" w:hAnsi="仿宋" w:eastAsia="仿宋_GB2312" w:cs="仿宋"/>
          <w:bCs/>
          <w:sz w:val="32"/>
          <w:szCs w:val="32"/>
        </w:rPr>
        <w:t>要抓住机遇，化危为机，进一步提升发展的主动权，推动人力资源社会保障事业再上新台阶，为第二个百年奋斗目标的实现奠定更加扎实的基础。</w:t>
      </w:r>
    </w:p>
    <w:p>
      <w:pPr>
        <w:keepLines w:val="0"/>
        <w:pageBreakBefore w:val="0"/>
        <w:kinsoku/>
        <w:wordWrap/>
        <w:overflowPunct/>
        <w:topLinePunct w:val="0"/>
        <w:autoSpaceDE/>
        <w:autoSpaceDN/>
        <w:bidi w:val="0"/>
        <w:adjustRightInd w:val="0"/>
        <w:snapToGrid w:val="0"/>
        <w:spacing w:line="560" w:lineRule="exact"/>
        <w:ind w:firstLine="643" w:firstLineChars="200"/>
        <w:rPr>
          <w:rStyle w:val="17"/>
          <w:rFonts w:hint="eastAsia" w:ascii="仿宋_GB2312" w:hAnsi="仿宋" w:eastAsia="仿宋_GB2312" w:cs="仿宋"/>
          <w:b/>
          <w:bCs/>
          <w:sz w:val="32"/>
          <w:szCs w:val="32"/>
        </w:rPr>
      </w:pPr>
      <w:r>
        <w:rPr>
          <w:rStyle w:val="17"/>
          <w:rFonts w:hint="eastAsia" w:ascii="仿宋_GB2312" w:hAnsi="仿宋" w:eastAsia="仿宋_GB2312" w:cs="仿宋"/>
          <w:b/>
          <w:bCs/>
          <w:sz w:val="32"/>
          <w:szCs w:val="32"/>
        </w:rPr>
        <w:t>一、重要机遇</w:t>
      </w:r>
    </w:p>
    <w:p>
      <w:pPr>
        <w:keepLines w:val="0"/>
        <w:pageBreakBefore w:val="0"/>
        <w:kinsoku/>
        <w:wordWrap/>
        <w:overflowPunct/>
        <w:topLinePunct w:val="0"/>
        <w:autoSpaceDE/>
        <w:autoSpaceDN/>
        <w:bidi w:val="0"/>
        <w:adjustRightInd w:val="0"/>
        <w:snapToGrid w:val="0"/>
        <w:spacing w:line="560" w:lineRule="exact"/>
        <w:ind w:firstLine="643" w:firstLineChars="200"/>
        <w:rPr>
          <w:rStyle w:val="17"/>
          <w:rFonts w:ascii="仿宋_GB2312" w:hAnsi="仿宋" w:eastAsia="仿宋_GB2312" w:cs="仿宋"/>
          <w:bCs/>
          <w:color w:val="auto"/>
          <w:sz w:val="32"/>
          <w:szCs w:val="32"/>
        </w:rPr>
      </w:pPr>
      <w:r>
        <w:rPr>
          <w:rStyle w:val="17"/>
          <w:rFonts w:hint="eastAsia" w:ascii="仿宋_GB2312" w:hAnsi="仿宋" w:eastAsia="仿宋_GB2312" w:cs="仿宋"/>
          <w:b/>
          <w:bCs/>
          <w:sz w:val="32"/>
          <w:szCs w:val="32"/>
        </w:rPr>
        <w:t>——党中央、省委</w:t>
      </w:r>
      <w:r>
        <w:rPr>
          <w:rStyle w:val="17"/>
          <w:rFonts w:hint="eastAsia" w:ascii="仿宋_GB2312" w:hAnsi="仿宋" w:eastAsia="仿宋_GB2312" w:cs="仿宋"/>
          <w:b/>
          <w:bCs/>
          <w:sz w:val="32"/>
          <w:szCs w:val="32"/>
          <w:lang w:eastAsia="zh-CN"/>
        </w:rPr>
        <w:t>、</w:t>
      </w:r>
      <w:r>
        <w:rPr>
          <w:rStyle w:val="17"/>
          <w:rFonts w:hint="eastAsia" w:ascii="仿宋_GB2312" w:hAnsi="仿宋" w:eastAsia="仿宋_GB2312" w:cs="仿宋"/>
          <w:b/>
          <w:bCs/>
          <w:sz w:val="32"/>
          <w:szCs w:val="32"/>
        </w:rPr>
        <w:t>市委和</w:t>
      </w:r>
      <w:r>
        <w:rPr>
          <w:rStyle w:val="17"/>
          <w:rFonts w:hint="eastAsia" w:ascii="仿宋_GB2312" w:hAnsi="仿宋" w:eastAsia="仿宋_GB2312" w:cs="仿宋"/>
          <w:b/>
          <w:bCs/>
          <w:sz w:val="32"/>
          <w:szCs w:val="32"/>
          <w:lang w:eastAsia="zh-CN"/>
        </w:rPr>
        <w:t>区委</w:t>
      </w:r>
      <w:r>
        <w:rPr>
          <w:rStyle w:val="17"/>
          <w:rFonts w:hint="eastAsia" w:ascii="仿宋_GB2312" w:hAnsi="仿宋" w:eastAsia="仿宋_GB2312" w:cs="仿宋"/>
          <w:b/>
          <w:bCs/>
          <w:sz w:val="32"/>
          <w:szCs w:val="32"/>
        </w:rPr>
        <w:t>的坚强领导，为</w:t>
      </w:r>
      <w:r>
        <w:rPr>
          <w:rStyle w:val="17"/>
          <w:rFonts w:hint="eastAsia" w:ascii="仿宋_GB2312" w:hAnsi="仿宋" w:eastAsia="仿宋_GB2312" w:cs="仿宋"/>
          <w:b/>
          <w:bCs/>
          <w:sz w:val="32"/>
          <w:szCs w:val="32"/>
          <w:lang w:val="en-US" w:eastAsia="zh-CN"/>
        </w:rPr>
        <w:t>人社</w:t>
      </w:r>
      <w:r>
        <w:rPr>
          <w:rStyle w:val="17"/>
          <w:rFonts w:hint="eastAsia" w:ascii="仿宋_GB2312" w:hAnsi="仿宋" w:eastAsia="仿宋_GB2312" w:cs="仿宋"/>
          <w:b/>
          <w:bCs/>
          <w:sz w:val="32"/>
          <w:szCs w:val="32"/>
        </w:rPr>
        <w:t>事业发展提供强大</w:t>
      </w:r>
      <w:r>
        <w:rPr>
          <w:rStyle w:val="17"/>
          <w:rFonts w:hint="eastAsia" w:ascii="仿宋_GB2312" w:hAnsi="仿宋" w:eastAsia="仿宋_GB2312" w:cs="仿宋"/>
          <w:b/>
          <w:bCs/>
          <w:sz w:val="32"/>
          <w:szCs w:val="32"/>
          <w:lang w:eastAsia="zh-CN"/>
        </w:rPr>
        <w:t>保障</w:t>
      </w:r>
      <w:r>
        <w:rPr>
          <w:rStyle w:val="17"/>
          <w:rFonts w:hint="eastAsia" w:ascii="仿宋_GB2312" w:hAnsi="仿宋" w:eastAsia="仿宋_GB2312" w:cs="仿宋"/>
          <w:b/>
          <w:bCs/>
          <w:sz w:val="32"/>
          <w:szCs w:val="32"/>
        </w:rPr>
        <w:t>。</w:t>
      </w:r>
      <w:r>
        <w:rPr>
          <w:rStyle w:val="17"/>
          <w:rFonts w:hint="eastAsia" w:ascii="仿宋_GB2312" w:hAnsi="仿宋" w:eastAsia="仿宋_GB2312" w:cs="仿宋"/>
          <w:bCs/>
          <w:sz w:val="32"/>
          <w:szCs w:val="32"/>
        </w:rPr>
        <w:t>中央高度重视人力资源社会保障事业发展，</w:t>
      </w:r>
      <w:r>
        <w:rPr>
          <w:rStyle w:val="17"/>
          <w:rFonts w:hint="eastAsia" w:ascii="仿宋_GB2312" w:hAnsi="仿宋" w:eastAsia="仿宋_GB2312" w:cs="仿宋"/>
          <w:bCs/>
          <w:color w:val="auto"/>
          <w:sz w:val="32"/>
          <w:szCs w:val="32"/>
          <w:highlight w:val="none"/>
        </w:rPr>
        <w:t>党的十九大</w:t>
      </w:r>
      <w:r>
        <w:rPr>
          <w:rStyle w:val="17"/>
          <w:rFonts w:hint="eastAsia" w:ascii="仿宋_GB2312" w:hAnsi="仿宋" w:eastAsia="仿宋_GB2312" w:cs="仿宋"/>
          <w:bCs/>
          <w:color w:val="auto"/>
          <w:sz w:val="32"/>
          <w:szCs w:val="32"/>
          <w:highlight w:val="none"/>
          <w:lang w:val="en-US" w:eastAsia="zh-CN"/>
        </w:rPr>
        <w:t>和</w:t>
      </w:r>
      <w:r>
        <w:rPr>
          <w:rStyle w:val="17"/>
          <w:rFonts w:hint="eastAsia" w:ascii="仿宋_GB2312" w:hAnsi="仿宋" w:eastAsia="仿宋_GB2312" w:cs="仿宋"/>
          <w:bCs/>
          <w:color w:val="auto"/>
          <w:sz w:val="32"/>
          <w:szCs w:val="32"/>
          <w:highlight w:val="none"/>
        </w:rPr>
        <w:t>十九届</w:t>
      </w:r>
      <w:r>
        <w:rPr>
          <w:rStyle w:val="17"/>
          <w:rFonts w:hint="eastAsia" w:ascii="仿宋_GB2312" w:hAnsi="仿宋" w:eastAsia="仿宋_GB2312" w:cs="仿宋"/>
          <w:bCs/>
          <w:color w:val="auto"/>
          <w:sz w:val="32"/>
          <w:szCs w:val="32"/>
          <w:highlight w:val="none"/>
          <w:lang w:val="en-US" w:eastAsia="zh-CN"/>
        </w:rPr>
        <w:t>历次</w:t>
      </w:r>
      <w:r>
        <w:rPr>
          <w:rStyle w:val="17"/>
          <w:rFonts w:hint="eastAsia" w:ascii="仿宋_GB2312" w:hAnsi="仿宋" w:eastAsia="仿宋_GB2312" w:cs="仿宋"/>
          <w:bCs/>
          <w:color w:val="auto"/>
          <w:sz w:val="32"/>
          <w:szCs w:val="32"/>
          <w:highlight w:val="none"/>
        </w:rPr>
        <w:t>全会强调坚持在发展中保障和改善民生</w:t>
      </w:r>
      <w:r>
        <w:rPr>
          <w:rStyle w:val="17"/>
          <w:rFonts w:hint="eastAsia" w:ascii="仿宋_GB2312" w:hAnsi="仿宋" w:eastAsia="仿宋_GB2312" w:cs="仿宋"/>
          <w:bCs/>
          <w:color w:val="auto"/>
          <w:sz w:val="32"/>
          <w:szCs w:val="32"/>
          <w:highlight w:val="none"/>
          <w:lang w:eastAsia="zh-CN"/>
        </w:rPr>
        <w:t>，</w:t>
      </w:r>
      <w:r>
        <w:rPr>
          <w:rFonts w:hint="eastAsia" w:ascii="仿宋_GB2312" w:eastAsia="仿宋_GB2312"/>
          <w:color w:val="auto"/>
          <w:sz w:val="32"/>
          <w:szCs w:val="32"/>
          <w:highlight w:val="none"/>
        </w:rPr>
        <w:t>强化就业优先政策、健全多层次社会保障体系</w:t>
      </w:r>
      <w:r>
        <w:rPr>
          <w:rStyle w:val="17"/>
          <w:rFonts w:hint="eastAsia" w:ascii="仿宋_GB2312" w:hAnsi="仿宋" w:eastAsia="仿宋_GB2312" w:cs="仿宋"/>
          <w:bCs/>
          <w:color w:val="auto"/>
          <w:sz w:val="32"/>
          <w:szCs w:val="32"/>
          <w:highlight w:val="none"/>
        </w:rPr>
        <w:t>等重点任务。</w:t>
      </w:r>
      <w:r>
        <w:rPr>
          <w:rStyle w:val="17"/>
          <w:rFonts w:hint="eastAsia" w:ascii="仿宋_GB2312" w:hAnsi="仿宋" w:eastAsia="仿宋_GB2312" w:cs="仿宋"/>
          <w:bCs/>
          <w:sz w:val="32"/>
          <w:szCs w:val="32"/>
        </w:rPr>
        <w:t>省委省政府积极推动“双区”驱动、“双城”联动、“一核一带一区”等区域发展格局，为我</w:t>
      </w:r>
      <w:r>
        <w:rPr>
          <w:rStyle w:val="17"/>
          <w:rFonts w:hint="eastAsia" w:ascii="仿宋_GB2312" w:hAnsi="仿宋" w:eastAsia="仿宋_GB2312" w:cs="仿宋"/>
          <w:bCs/>
          <w:sz w:val="32"/>
          <w:szCs w:val="32"/>
          <w:lang w:eastAsia="zh-CN"/>
        </w:rPr>
        <w:t>区</w:t>
      </w:r>
      <w:r>
        <w:rPr>
          <w:rStyle w:val="17"/>
          <w:rFonts w:hint="eastAsia" w:ascii="仿宋_GB2312" w:hAnsi="仿宋" w:eastAsia="仿宋_GB2312" w:cs="仿宋"/>
          <w:bCs/>
          <w:sz w:val="32"/>
          <w:szCs w:val="32"/>
        </w:rPr>
        <w:t>人力资源社会保障领域政策创新、资源整合、服务优化拓展了新空间。</w:t>
      </w:r>
      <w:r>
        <w:rPr>
          <w:rStyle w:val="17"/>
          <w:rFonts w:hint="eastAsia" w:ascii="仿宋_GB2312" w:hAnsi="仿宋" w:eastAsia="仿宋_GB2312" w:cs="仿宋"/>
          <w:bCs/>
          <w:sz w:val="32"/>
          <w:szCs w:val="32"/>
          <w:lang w:eastAsia="zh-CN"/>
        </w:rPr>
        <w:t>区</w:t>
      </w:r>
      <w:r>
        <w:rPr>
          <w:rStyle w:val="17"/>
          <w:rFonts w:hint="eastAsia" w:ascii="仿宋_GB2312" w:hAnsi="仿宋" w:eastAsia="仿宋_GB2312" w:cs="仿宋"/>
          <w:bCs/>
          <w:sz w:val="32"/>
          <w:szCs w:val="32"/>
        </w:rPr>
        <w:t>委</w:t>
      </w:r>
      <w:r>
        <w:rPr>
          <w:rStyle w:val="17"/>
          <w:rFonts w:hint="eastAsia" w:ascii="仿宋_GB2312" w:hAnsi="仿宋" w:eastAsia="仿宋_GB2312" w:cs="仿宋"/>
          <w:bCs/>
          <w:sz w:val="32"/>
          <w:szCs w:val="32"/>
          <w:lang w:eastAsia="zh-CN"/>
        </w:rPr>
        <w:t>区</w:t>
      </w:r>
      <w:r>
        <w:rPr>
          <w:rStyle w:val="17"/>
          <w:rFonts w:hint="eastAsia" w:ascii="仿宋_GB2312" w:hAnsi="仿宋" w:eastAsia="仿宋_GB2312" w:cs="仿宋"/>
          <w:bCs/>
          <w:sz w:val="32"/>
          <w:szCs w:val="32"/>
        </w:rPr>
        <w:t>政府为加快改变汕尾</w:t>
      </w:r>
      <w:r>
        <w:rPr>
          <w:rStyle w:val="17"/>
          <w:rFonts w:hint="eastAsia" w:ascii="仿宋_GB2312" w:hAnsi="仿宋" w:eastAsia="仿宋_GB2312" w:cs="仿宋"/>
          <w:bCs/>
          <w:sz w:val="32"/>
          <w:szCs w:val="32"/>
          <w:lang w:eastAsia="zh-CN"/>
        </w:rPr>
        <w:t>城区</w:t>
      </w:r>
      <w:r>
        <w:rPr>
          <w:rStyle w:val="17"/>
          <w:rFonts w:hint="eastAsia" w:ascii="仿宋_GB2312" w:hAnsi="仿宋" w:eastAsia="仿宋_GB2312" w:cs="仿宋"/>
          <w:bCs/>
          <w:sz w:val="32"/>
          <w:szCs w:val="32"/>
        </w:rPr>
        <w:t>发展落后现状，进一步强化责任担当，奋战“抓基础利长远、抓项目强实力、抓改革优环境”三大行动，为推动</w:t>
      </w:r>
      <w:r>
        <w:rPr>
          <w:rStyle w:val="17"/>
          <w:rFonts w:hint="eastAsia" w:ascii="仿宋_GB2312" w:hAnsi="仿宋" w:eastAsia="仿宋_GB2312" w:cs="仿宋"/>
          <w:bCs/>
          <w:sz w:val="32"/>
          <w:szCs w:val="32"/>
          <w:lang w:eastAsia="zh-CN"/>
        </w:rPr>
        <w:t>城区</w:t>
      </w:r>
      <w:r>
        <w:rPr>
          <w:rStyle w:val="17"/>
          <w:rFonts w:hint="eastAsia" w:ascii="仿宋_GB2312" w:hAnsi="仿宋" w:eastAsia="仿宋_GB2312" w:cs="仿宋"/>
          <w:bCs/>
          <w:sz w:val="32"/>
          <w:szCs w:val="32"/>
        </w:rPr>
        <w:t>人力资源社会保障事业发展提供了</w:t>
      </w:r>
      <w:r>
        <w:rPr>
          <w:rStyle w:val="17"/>
          <w:rFonts w:hint="eastAsia" w:ascii="仿宋_GB2312" w:hAnsi="仿宋" w:eastAsia="仿宋_GB2312" w:cs="仿宋"/>
          <w:bCs/>
          <w:color w:val="auto"/>
          <w:sz w:val="32"/>
          <w:szCs w:val="32"/>
          <w:highlight w:val="none"/>
          <w:lang w:val="en-US" w:eastAsia="zh-CN"/>
        </w:rPr>
        <w:t>强大保障</w:t>
      </w:r>
      <w:r>
        <w:rPr>
          <w:rStyle w:val="17"/>
          <w:rFonts w:hint="eastAsia" w:ascii="仿宋_GB2312" w:hAnsi="仿宋" w:eastAsia="仿宋_GB2312" w:cs="仿宋"/>
          <w:bCs/>
          <w:color w:val="auto"/>
          <w:sz w:val="32"/>
          <w:szCs w:val="32"/>
        </w:rPr>
        <w:t>。</w:t>
      </w:r>
    </w:p>
    <w:p>
      <w:pPr>
        <w:adjustRightInd w:val="0"/>
        <w:snapToGrid w:val="0"/>
        <w:spacing w:line="360" w:lineRule="auto"/>
        <w:ind w:firstLine="643" w:firstLineChars="200"/>
        <w:rPr>
          <w:rStyle w:val="17"/>
          <w:rFonts w:ascii="仿宋_GB2312" w:hAnsi="仿宋" w:eastAsia="仿宋_GB2312" w:cs="仿宋"/>
          <w:bCs/>
          <w:color w:val="auto"/>
          <w:sz w:val="32"/>
          <w:szCs w:val="32"/>
          <w:highlight w:val="none"/>
        </w:rPr>
      </w:pPr>
      <w:r>
        <w:rPr>
          <w:rStyle w:val="17"/>
          <w:rFonts w:hint="eastAsia" w:ascii="仿宋_GB2312" w:hAnsi="仿宋" w:eastAsia="仿宋_GB2312" w:cs="仿宋"/>
          <w:b/>
          <w:bCs/>
          <w:color w:val="auto"/>
          <w:sz w:val="32"/>
          <w:szCs w:val="32"/>
        </w:rPr>
        <w:t>——汕尾经济发展质量效益持续提升，为事业发展孕育新潜力。</w:t>
      </w:r>
      <w:r>
        <w:rPr>
          <w:rStyle w:val="17"/>
          <w:rFonts w:hint="eastAsia" w:ascii="仿宋_GB2312" w:hAnsi="仿宋" w:eastAsia="仿宋_GB2312" w:cs="仿宋"/>
          <w:bCs/>
          <w:color w:val="auto"/>
          <w:sz w:val="32"/>
          <w:szCs w:val="32"/>
        </w:rPr>
        <w:t>2020年汕尾GDP跨越千亿元台阶，</w:t>
      </w:r>
      <w:r>
        <w:rPr>
          <w:rFonts w:hint="eastAsia" w:ascii="仿宋_GB2312" w:hAnsi="仿宋" w:eastAsia="仿宋_GB2312" w:cs="仿宋"/>
          <w:color w:val="auto"/>
          <w:sz w:val="32"/>
          <w:szCs w:val="32"/>
          <w:lang w:val="en-US" w:eastAsia="zh-CN"/>
        </w:rPr>
        <w:t>“十三五”以来，全区地区生产总值（GDP）由2015年的111.61亿元增加至2020年的287.28亿元（含市直），年均增长5.9%，规模以上工业增加值增加至70.43亿元。人均GDP由2015年的44834元增加至2020年的68598元。全体居民人均可支配收入由2015年的20642元增加到2020年的27632元。“十三五”期间，城镇新增就业人数累计30238人，进一步夯实了“十四五”时期城区社会经济发展的基础。产业结构得到进一步优化，三次产业比重由2016年的16.8：41.4：42.1，调整为2020年的9.27:33.53:57.2，为全区经济发展壮大奠定了良好的产业基础。其中：第一产业增加值由19.59亿元增加至26.63亿元；第二产业增加值由92.03亿元增加至96.33亿元；第三产业增加值由102.71亿元增加至164.32亿元。工业发展质量明显提高。2016年以来，规模以上工业增加值增速为7.9%，先进制造业、高技术制造业增加值占比不断提升。现代农业发展迈上新台阶，农林牧渔业总产值由2016年的30.32亿元增加到2020年的42.81亿元。</w:t>
      </w:r>
      <w:bookmarkStart w:id="7" w:name="_Hlk49495486"/>
      <w:r>
        <w:rPr>
          <w:rFonts w:hint="eastAsia" w:ascii="仿宋_GB2312" w:hAnsi="仿宋" w:eastAsia="仿宋_GB2312" w:cs="仿宋"/>
          <w:color w:val="auto"/>
          <w:sz w:val="32"/>
          <w:szCs w:val="32"/>
        </w:rPr>
        <w:t>这些为就业资金稳定投入、社保待遇稳步提高、收入分配改革、基础能力建设等奠定坚实物质基础。</w:t>
      </w:r>
      <w:r>
        <w:rPr>
          <w:rStyle w:val="17"/>
          <w:rFonts w:hint="eastAsia" w:ascii="仿宋_GB2312" w:hAnsi="仿宋" w:eastAsia="仿宋_GB2312" w:cs="仿宋"/>
          <w:bCs/>
          <w:color w:val="auto"/>
          <w:sz w:val="32"/>
          <w:szCs w:val="32"/>
        </w:rPr>
        <w:t>当前及今后较长的一段时期，城区经济持续增长的良好基础和条件没有变，结构调整优化的前进态势没有变，治理体系和治理能力形成的制度优势没有变，</w:t>
      </w:r>
      <w:r>
        <w:rPr>
          <w:rStyle w:val="17"/>
          <w:rFonts w:hint="eastAsia" w:ascii="仿宋_GB2312" w:hAnsi="仿宋" w:eastAsia="仿宋_GB2312" w:cs="仿宋"/>
          <w:bCs/>
          <w:color w:val="auto"/>
          <w:sz w:val="32"/>
          <w:szCs w:val="32"/>
          <w:highlight w:val="none"/>
        </w:rPr>
        <w:t>为促进</w:t>
      </w:r>
      <w:r>
        <w:rPr>
          <w:rStyle w:val="17"/>
          <w:rFonts w:hint="eastAsia" w:ascii="仿宋_GB2312" w:hAnsi="仿宋" w:eastAsia="仿宋_GB2312" w:cs="仿宋"/>
          <w:bCs/>
          <w:color w:val="auto"/>
          <w:sz w:val="32"/>
          <w:szCs w:val="32"/>
          <w:highlight w:val="none"/>
          <w:lang w:val="en-US" w:eastAsia="zh-CN"/>
        </w:rPr>
        <w:t>人社</w:t>
      </w:r>
      <w:r>
        <w:rPr>
          <w:rStyle w:val="17"/>
          <w:rFonts w:hint="eastAsia" w:ascii="仿宋_GB2312" w:hAnsi="仿宋" w:eastAsia="仿宋_GB2312" w:cs="仿宋"/>
          <w:bCs/>
          <w:color w:val="auto"/>
          <w:sz w:val="32"/>
          <w:szCs w:val="32"/>
          <w:highlight w:val="none"/>
        </w:rPr>
        <w:t>事业可持续发展提供</w:t>
      </w:r>
      <w:r>
        <w:rPr>
          <w:rStyle w:val="17"/>
          <w:rFonts w:hint="eastAsia" w:ascii="仿宋_GB2312" w:hAnsi="仿宋" w:eastAsia="仿宋_GB2312" w:cs="仿宋"/>
          <w:bCs/>
          <w:color w:val="auto"/>
          <w:sz w:val="32"/>
          <w:szCs w:val="32"/>
          <w:highlight w:val="none"/>
          <w:lang w:eastAsia="zh-CN"/>
        </w:rPr>
        <w:t>了</w:t>
      </w:r>
      <w:r>
        <w:rPr>
          <w:rStyle w:val="17"/>
          <w:rFonts w:hint="eastAsia" w:ascii="仿宋_GB2312" w:hAnsi="仿宋" w:eastAsia="仿宋_GB2312" w:cs="仿宋"/>
          <w:bCs/>
          <w:color w:val="auto"/>
          <w:sz w:val="32"/>
          <w:szCs w:val="32"/>
          <w:highlight w:val="none"/>
        </w:rPr>
        <w:t>新的</w:t>
      </w:r>
      <w:r>
        <w:rPr>
          <w:rStyle w:val="17"/>
          <w:rFonts w:hint="eastAsia" w:ascii="仿宋_GB2312" w:hAnsi="仿宋" w:eastAsia="仿宋_GB2312" w:cs="仿宋"/>
          <w:bCs/>
          <w:color w:val="auto"/>
          <w:sz w:val="32"/>
          <w:szCs w:val="32"/>
          <w:highlight w:val="none"/>
          <w:lang w:eastAsia="zh-CN"/>
        </w:rPr>
        <w:t>潜力和</w:t>
      </w:r>
      <w:r>
        <w:rPr>
          <w:rStyle w:val="17"/>
          <w:rFonts w:hint="eastAsia" w:ascii="仿宋_GB2312" w:hAnsi="仿宋" w:eastAsia="仿宋_GB2312" w:cs="仿宋"/>
          <w:bCs/>
          <w:color w:val="auto"/>
          <w:sz w:val="32"/>
          <w:szCs w:val="32"/>
          <w:highlight w:val="none"/>
        </w:rPr>
        <w:t>机遇。</w:t>
      </w:r>
    </w:p>
    <w:p>
      <w:pPr>
        <w:keepLines w:val="0"/>
        <w:pageBreakBefore w:val="0"/>
        <w:kinsoku/>
        <w:wordWrap/>
        <w:overflowPunct/>
        <w:topLinePunct w:val="0"/>
        <w:autoSpaceDE/>
        <w:autoSpaceDN/>
        <w:bidi w:val="0"/>
        <w:adjustRightInd w:val="0"/>
        <w:snapToGrid w:val="0"/>
        <w:spacing w:line="560" w:lineRule="exact"/>
        <w:ind w:firstLine="643" w:firstLineChars="200"/>
        <w:rPr>
          <w:rStyle w:val="17"/>
          <w:rFonts w:hint="eastAsia" w:ascii="仿宋_GB2312" w:hAnsi="仿宋" w:eastAsia="仿宋_GB2312" w:cs="仿宋"/>
          <w:bCs/>
          <w:color w:val="auto"/>
          <w:sz w:val="32"/>
          <w:szCs w:val="32"/>
        </w:rPr>
      </w:pPr>
      <w:r>
        <w:rPr>
          <w:rStyle w:val="17"/>
          <w:rFonts w:hint="eastAsia" w:ascii="仿宋_GB2312" w:hAnsi="仿宋" w:eastAsia="仿宋_GB2312" w:cs="仿宋"/>
          <w:b/>
          <w:bCs/>
          <w:color w:val="auto"/>
          <w:sz w:val="32"/>
          <w:szCs w:val="32"/>
        </w:rPr>
        <w:t>——“特区带老区”体制机制不断完善，为</w:t>
      </w:r>
      <w:r>
        <w:rPr>
          <w:rStyle w:val="17"/>
          <w:rFonts w:hint="eastAsia" w:ascii="仿宋_GB2312" w:hAnsi="仿宋" w:eastAsia="仿宋_GB2312" w:cs="仿宋"/>
          <w:b/>
          <w:bCs/>
          <w:color w:val="auto"/>
          <w:sz w:val="32"/>
          <w:szCs w:val="32"/>
          <w:highlight w:val="none"/>
          <w:lang w:val="en-US" w:eastAsia="zh-CN"/>
        </w:rPr>
        <w:t>人社</w:t>
      </w:r>
      <w:r>
        <w:rPr>
          <w:rStyle w:val="17"/>
          <w:rFonts w:hint="eastAsia" w:ascii="仿宋_GB2312" w:hAnsi="仿宋" w:eastAsia="仿宋_GB2312" w:cs="仿宋"/>
          <w:b/>
          <w:bCs/>
          <w:color w:val="auto"/>
          <w:sz w:val="32"/>
          <w:szCs w:val="32"/>
        </w:rPr>
        <w:t>事业发展增添</w:t>
      </w:r>
      <w:r>
        <w:rPr>
          <w:rStyle w:val="17"/>
          <w:rFonts w:hint="eastAsia" w:ascii="仿宋_GB2312" w:hAnsi="仿宋" w:eastAsia="仿宋_GB2312" w:cs="仿宋"/>
          <w:b/>
          <w:bCs/>
          <w:color w:val="auto"/>
          <w:sz w:val="32"/>
          <w:szCs w:val="32"/>
          <w:highlight w:val="none"/>
          <w:lang w:eastAsia="zh-CN"/>
        </w:rPr>
        <w:t>新动力</w:t>
      </w:r>
      <w:r>
        <w:rPr>
          <w:rStyle w:val="17"/>
          <w:rFonts w:hint="eastAsia" w:ascii="仿宋_GB2312" w:hAnsi="仿宋" w:eastAsia="仿宋_GB2312" w:cs="仿宋"/>
          <w:b/>
          <w:bCs/>
          <w:color w:val="auto"/>
          <w:sz w:val="32"/>
          <w:szCs w:val="32"/>
        </w:rPr>
        <w:t>。</w:t>
      </w:r>
      <w:bookmarkEnd w:id="7"/>
      <w:r>
        <w:rPr>
          <w:rStyle w:val="17"/>
          <w:rFonts w:hint="eastAsia" w:ascii="仿宋_GB2312" w:hAnsi="仿宋" w:eastAsia="仿宋_GB2312" w:cs="仿宋"/>
          <w:bCs/>
          <w:color w:val="auto"/>
          <w:sz w:val="32"/>
          <w:szCs w:val="32"/>
        </w:rPr>
        <w:t>中央对革命老区形成了完整的政策支持体系，省委、省政府出台《关于进一步推动我省革命老区和原中央苏区振兴发展的意见》，</w:t>
      </w:r>
      <w:r>
        <w:rPr>
          <w:rStyle w:val="17"/>
          <w:rFonts w:hint="eastAsia" w:ascii="仿宋_GB2312" w:hAnsi="仿宋" w:eastAsia="仿宋_GB2312" w:cs="仿宋"/>
          <w:bCs/>
          <w:color w:val="auto"/>
          <w:sz w:val="32"/>
          <w:szCs w:val="32"/>
          <w:lang w:eastAsia="zh-CN"/>
        </w:rPr>
        <w:t>继续安排深圳全面对口帮扶汕尾，</w:t>
      </w:r>
      <w:r>
        <w:rPr>
          <w:rStyle w:val="17"/>
          <w:rFonts w:hint="eastAsia" w:ascii="仿宋_GB2312" w:hAnsi="仿宋" w:eastAsia="仿宋_GB2312" w:cs="仿宋"/>
          <w:bCs/>
          <w:color w:val="auto"/>
          <w:sz w:val="32"/>
          <w:szCs w:val="32"/>
        </w:rPr>
        <w:t>继续安排深圳</w:t>
      </w:r>
      <w:r>
        <w:rPr>
          <w:rStyle w:val="17"/>
          <w:rFonts w:hint="eastAsia" w:ascii="仿宋_GB2312" w:hAnsi="仿宋" w:eastAsia="仿宋_GB2312" w:cs="仿宋"/>
          <w:bCs/>
          <w:color w:val="auto"/>
          <w:sz w:val="32"/>
          <w:szCs w:val="32"/>
          <w:lang w:eastAsia="zh-CN"/>
        </w:rPr>
        <w:t>光明区</w:t>
      </w:r>
      <w:r>
        <w:rPr>
          <w:rStyle w:val="17"/>
          <w:rFonts w:hint="eastAsia" w:ascii="仿宋_GB2312" w:hAnsi="仿宋" w:eastAsia="仿宋_GB2312" w:cs="仿宋"/>
          <w:bCs/>
          <w:color w:val="auto"/>
          <w:sz w:val="32"/>
          <w:szCs w:val="32"/>
        </w:rPr>
        <w:t>全面对口帮扶</w:t>
      </w:r>
      <w:r>
        <w:rPr>
          <w:rStyle w:val="17"/>
          <w:rFonts w:hint="eastAsia" w:ascii="仿宋_GB2312" w:hAnsi="仿宋" w:eastAsia="仿宋_GB2312" w:cs="仿宋"/>
          <w:bCs/>
          <w:color w:val="auto"/>
          <w:sz w:val="32"/>
          <w:szCs w:val="32"/>
          <w:lang w:eastAsia="zh-CN"/>
        </w:rPr>
        <w:t>城区。</w:t>
      </w:r>
      <w:r>
        <w:rPr>
          <w:rStyle w:val="17"/>
          <w:rFonts w:hint="eastAsia" w:ascii="仿宋_GB2312" w:hAnsi="仿宋" w:eastAsia="仿宋_GB2312" w:cs="仿宋"/>
          <w:bCs/>
          <w:color w:val="auto"/>
          <w:sz w:val="32"/>
          <w:szCs w:val="32"/>
        </w:rPr>
        <w:t>市委市政府、区委区政府也相应制定配套措施，</w:t>
      </w:r>
      <w:r>
        <w:rPr>
          <w:rStyle w:val="17"/>
          <w:rFonts w:hint="eastAsia" w:ascii="仿宋_GB2312" w:hAnsi="仿宋" w:eastAsia="仿宋_GB2312" w:cs="仿宋"/>
          <w:bCs/>
          <w:color w:val="auto"/>
          <w:sz w:val="32"/>
          <w:szCs w:val="32"/>
          <w:lang w:eastAsia="zh-CN"/>
        </w:rPr>
        <w:t>多重政策利好叠加，为城区高质量发展带来新契机</w:t>
      </w:r>
      <w:r>
        <w:rPr>
          <w:rStyle w:val="17"/>
          <w:rFonts w:hint="eastAsia" w:ascii="仿宋_GB2312" w:hAnsi="仿宋" w:eastAsia="仿宋_GB2312" w:cs="仿宋"/>
          <w:bCs/>
          <w:color w:val="auto"/>
          <w:sz w:val="32"/>
          <w:szCs w:val="32"/>
        </w:rPr>
        <w:t>。</w:t>
      </w:r>
      <w:bookmarkStart w:id="8" w:name="_Hlk49496158"/>
      <w:r>
        <w:rPr>
          <w:rStyle w:val="17"/>
          <w:rFonts w:hint="eastAsia" w:ascii="仿宋_GB2312" w:hAnsi="仿宋" w:eastAsia="仿宋_GB2312" w:cs="仿宋"/>
          <w:bCs/>
          <w:color w:val="auto"/>
          <w:sz w:val="32"/>
          <w:szCs w:val="32"/>
          <w:lang w:eastAsia="zh-CN"/>
        </w:rPr>
        <w:t>也为城区加快融入“双区”综合交通网络，加快承接“双区”城市功能疏解以及产业、金融、人才、文化等各类资源带来机遇。</w:t>
      </w:r>
      <w:r>
        <w:rPr>
          <w:rStyle w:val="17"/>
          <w:rFonts w:hint="eastAsia" w:ascii="仿宋_GB2312" w:hAnsi="仿宋" w:eastAsia="仿宋_GB2312" w:cs="仿宋"/>
          <w:bCs/>
          <w:color w:val="auto"/>
          <w:sz w:val="32"/>
          <w:szCs w:val="32"/>
        </w:rPr>
        <w:t>也为我</w:t>
      </w:r>
      <w:r>
        <w:rPr>
          <w:rStyle w:val="17"/>
          <w:rFonts w:hint="eastAsia" w:ascii="仿宋_GB2312" w:hAnsi="仿宋" w:eastAsia="仿宋_GB2312" w:cs="仿宋"/>
          <w:bCs/>
          <w:color w:val="auto"/>
          <w:sz w:val="32"/>
          <w:szCs w:val="32"/>
          <w:lang w:eastAsia="zh-CN"/>
        </w:rPr>
        <w:t>区</w:t>
      </w:r>
      <w:r>
        <w:rPr>
          <w:rStyle w:val="17"/>
          <w:rFonts w:hint="eastAsia" w:ascii="仿宋_GB2312" w:hAnsi="仿宋" w:eastAsia="仿宋_GB2312" w:cs="仿宋"/>
          <w:bCs/>
          <w:color w:val="auto"/>
          <w:sz w:val="32"/>
          <w:szCs w:val="32"/>
        </w:rPr>
        <w:t>人力资源社会保障事业发展提供了</w:t>
      </w:r>
      <w:r>
        <w:rPr>
          <w:rStyle w:val="17"/>
          <w:rFonts w:hint="eastAsia" w:ascii="仿宋_GB2312" w:hAnsi="仿宋" w:eastAsia="仿宋_GB2312" w:cs="仿宋"/>
          <w:bCs/>
          <w:color w:val="auto"/>
          <w:sz w:val="32"/>
          <w:szCs w:val="32"/>
          <w:highlight w:val="none"/>
        </w:rPr>
        <w:t>新</w:t>
      </w:r>
      <w:r>
        <w:rPr>
          <w:rStyle w:val="17"/>
          <w:rFonts w:hint="eastAsia" w:ascii="仿宋_GB2312" w:hAnsi="仿宋" w:eastAsia="仿宋_GB2312" w:cs="仿宋"/>
          <w:bCs/>
          <w:color w:val="auto"/>
          <w:sz w:val="32"/>
          <w:szCs w:val="32"/>
          <w:highlight w:val="none"/>
          <w:lang w:eastAsia="zh-CN"/>
        </w:rPr>
        <w:t>动力</w:t>
      </w:r>
      <w:r>
        <w:rPr>
          <w:rStyle w:val="17"/>
          <w:rFonts w:hint="eastAsia" w:ascii="仿宋_GB2312" w:hAnsi="仿宋" w:eastAsia="仿宋_GB2312" w:cs="仿宋"/>
          <w:bCs/>
          <w:color w:val="auto"/>
          <w:sz w:val="32"/>
          <w:szCs w:val="32"/>
        </w:rPr>
        <w:t>。</w:t>
      </w:r>
    </w:p>
    <w:bookmarkEnd w:id="8"/>
    <w:p>
      <w:pPr>
        <w:keepLines w:val="0"/>
        <w:pageBreakBefore w:val="0"/>
        <w:kinsoku/>
        <w:wordWrap/>
        <w:overflowPunct/>
        <w:topLinePunct w:val="0"/>
        <w:autoSpaceDE/>
        <w:autoSpaceDN/>
        <w:bidi w:val="0"/>
        <w:adjustRightInd w:val="0"/>
        <w:snapToGrid w:val="0"/>
        <w:spacing w:line="560" w:lineRule="exact"/>
        <w:ind w:firstLine="643" w:firstLineChars="200"/>
        <w:rPr>
          <w:rStyle w:val="17"/>
          <w:rFonts w:hint="eastAsia" w:ascii="仿宋_GB2312" w:hAnsi="仿宋" w:eastAsia="仿宋_GB2312" w:cs="仿宋"/>
          <w:b/>
          <w:bCs/>
          <w:sz w:val="32"/>
          <w:szCs w:val="32"/>
        </w:rPr>
      </w:pPr>
      <w:r>
        <w:rPr>
          <w:rStyle w:val="17"/>
          <w:rFonts w:hint="eastAsia" w:ascii="仿宋_GB2312" w:hAnsi="仿宋" w:eastAsia="仿宋_GB2312" w:cs="仿宋"/>
          <w:b/>
          <w:bCs/>
          <w:sz w:val="32"/>
          <w:szCs w:val="32"/>
        </w:rPr>
        <w:t xml:space="preserve"> 二、主要挑战</w:t>
      </w:r>
    </w:p>
    <w:p>
      <w:pPr>
        <w:keepLines w:val="0"/>
        <w:pageBreakBefore w:val="0"/>
        <w:kinsoku/>
        <w:wordWrap/>
        <w:overflowPunct/>
        <w:topLinePunct w:val="0"/>
        <w:autoSpaceDE/>
        <w:autoSpaceDN/>
        <w:bidi w:val="0"/>
        <w:adjustRightInd w:val="0"/>
        <w:snapToGrid w:val="0"/>
        <w:spacing w:line="560" w:lineRule="exact"/>
        <w:ind w:firstLine="643" w:firstLineChars="200"/>
        <w:rPr>
          <w:rStyle w:val="17"/>
          <w:rFonts w:hint="eastAsia" w:ascii="仿宋_GB2312" w:hAnsi="仿宋" w:eastAsia="仿宋_GB2312" w:cs="仿宋"/>
          <w:bCs/>
          <w:sz w:val="32"/>
          <w:szCs w:val="32"/>
        </w:rPr>
      </w:pPr>
      <w:r>
        <w:rPr>
          <w:rStyle w:val="17"/>
          <w:rFonts w:hint="eastAsia" w:ascii="仿宋_GB2312" w:hAnsi="仿宋" w:eastAsia="仿宋_GB2312" w:cs="仿宋"/>
          <w:b/>
          <w:bCs/>
          <w:sz w:val="32"/>
          <w:szCs w:val="32"/>
        </w:rPr>
        <w:t>——世界处于百年未有之大变局，发展不确定性和风险挑战明显</w:t>
      </w:r>
      <w:r>
        <w:rPr>
          <w:rStyle w:val="17"/>
          <w:rFonts w:hint="eastAsia" w:ascii="仿宋_GB2312" w:hAnsi="仿宋" w:eastAsia="仿宋_GB2312" w:cs="仿宋"/>
          <w:b/>
          <w:bCs/>
          <w:color w:val="auto"/>
          <w:sz w:val="32"/>
          <w:szCs w:val="32"/>
          <w:highlight w:val="none"/>
          <w:lang w:eastAsia="zh-CN"/>
        </w:rPr>
        <w:t>增强</w:t>
      </w:r>
      <w:r>
        <w:rPr>
          <w:rStyle w:val="17"/>
          <w:rFonts w:hint="eastAsia" w:ascii="仿宋_GB2312" w:hAnsi="仿宋" w:eastAsia="仿宋_GB2312" w:cs="仿宋"/>
          <w:b/>
          <w:bCs/>
          <w:sz w:val="32"/>
          <w:szCs w:val="32"/>
        </w:rPr>
        <w:t>。</w:t>
      </w:r>
      <w:r>
        <w:rPr>
          <w:rStyle w:val="17"/>
          <w:rFonts w:hint="eastAsia" w:ascii="仿宋_GB2312" w:hAnsi="仿宋" w:eastAsia="仿宋_GB2312" w:cs="仿宋"/>
          <w:bCs/>
          <w:sz w:val="32"/>
          <w:szCs w:val="32"/>
        </w:rPr>
        <w:t>世界经济不确定不稳定因素增多，贸易保护主义倾向抬头，贸易摩擦时有发生，我国将在一个更加不稳定不确定的世界中谋求发展。全球新冠肺炎疫情影响下贸易保护主义和单边主义抬头，对外贸易可能大幅萎缩，产业链和供应链将发生较大调整，更多中高端产业回流发达国家，中低端产业向低成本地区</w:t>
      </w:r>
      <w:r>
        <w:rPr>
          <w:rStyle w:val="17"/>
          <w:rFonts w:hint="eastAsia" w:ascii="仿宋_GB2312" w:hAnsi="仿宋" w:eastAsia="仿宋_GB2312" w:cs="仿宋"/>
          <w:bCs/>
          <w:sz w:val="32"/>
          <w:szCs w:val="32"/>
          <w:lang w:eastAsia="zh-CN"/>
        </w:rPr>
        <w:t>和国家</w:t>
      </w:r>
      <w:r>
        <w:rPr>
          <w:rStyle w:val="17"/>
          <w:rFonts w:hint="eastAsia" w:ascii="仿宋_GB2312" w:hAnsi="仿宋" w:eastAsia="仿宋_GB2312" w:cs="仿宋"/>
          <w:bCs/>
          <w:sz w:val="32"/>
          <w:szCs w:val="32"/>
        </w:rPr>
        <w:t>转移，整体就业压力将更加严峻，社保扩面征缴空间压缩，人才、资金、数据的自由流动也将面临许多障碍。</w:t>
      </w:r>
    </w:p>
    <w:p>
      <w:pPr>
        <w:keepLines w:val="0"/>
        <w:pageBreakBefore w:val="0"/>
        <w:kinsoku/>
        <w:wordWrap/>
        <w:overflowPunct/>
        <w:topLinePunct w:val="0"/>
        <w:autoSpaceDE/>
        <w:autoSpaceDN/>
        <w:bidi w:val="0"/>
        <w:adjustRightInd w:val="0"/>
        <w:snapToGrid w:val="0"/>
        <w:spacing w:line="560" w:lineRule="exact"/>
        <w:ind w:firstLine="643" w:firstLineChars="200"/>
        <w:rPr>
          <w:rStyle w:val="17"/>
          <w:rFonts w:hint="eastAsia" w:ascii="仿宋_GB2312" w:hAnsi="仿宋" w:eastAsia="仿宋_GB2312" w:cs="仿宋"/>
          <w:bCs/>
          <w:sz w:val="32"/>
          <w:szCs w:val="32"/>
        </w:rPr>
      </w:pPr>
      <w:r>
        <w:rPr>
          <w:rStyle w:val="17"/>
          <w:rFonts w:hint="eastAsia" w:ascii="仿宋_GB2312" w:hAnsi="仿宋" w:eastAsia="仿宋_GB2312" w:cs="仿宋"/>
          <w:b/>
          <w:bCs/>
          <w:sz w:val="32"/>
          <w:szCs w:val="32"/>
        </w:rPr>
        <w:t>——社会结构变动和转型加速，对自身治理能力要求进一步提升。</w:t>
      </w:r>
      <w:r>
        <w:rPr>
          <w:rStyle w:val="17"/>
          <w:rFonts w:hint="eastAsia" w:ascii="仿宋_GB2312" w:hAnsi="仿宋" w:eastAsia="仿宋_GB2312" w:cs="仿宋"/>
          <w:bCs/>
          <w:sz w:val="32"/>
          <w:szCs w:val="32"/>
        </w:rPr>
        <w:t>一方面，汕尾</w:t>
      </w:r>
      <w:r>
        <w:rPr>
          <w:rStyle w:val="17"/>
          <w:rFonts w:hint="eastAsia" w:ascii="仿宋_GB2312" w:hAnsi="仿宋" w:eastAsia="仿宋_GB2312" w:cs="仿宋"/>
          <w:bCs/>
          <w:sz w:val="32"/>
          <w:szCs w:val="32"/>
          <w:lang w:eastAsia="zh-CN"/>
        </w:rPr>
        <w:t>市城区</w:t>
      </w:r>
      <w:r>
        <w:rPr>
          <w:rStyle w:val="17"/>
          <w:rFonts w:hint="eastAsia" w:ascii="仿宋_GB2312" w:hAnsi="仿宋" w:eastAsia="仿宋_GB2312" w:cs="仿宋"/>
          <w:bCs/>
          <w:sz w:val="32"/>
          <w:szCs w:val="32"/>
        </w:rPr>
        <w:t>与粤港澳大湾区联系密切，人员流动频繁，社会需求多样性、利益关系复杂性和社会矛盾多发性都很突出；另一方面，汕尾</w:t>
      </w:r>
      <w:r>
        <w:rPr>
          <w:rStyle w:val="17"/>
          <w:rFonts w:hint="eastAsia" w:ascii="仿宋_GB2312" w:hAnsi="仿宋" w:eastAsia="仿宋_GB2312" w:cs="仿宋"/>
          <w:bCs/>
          <w:sz w:val="32"/>
          <w:szCs w:val="32"/>
          <w:lang w:eastAsia="zh-CN"/>
        </w:rPr>
        <w:t>城区</w:t>
      </w:r>
      <w:r>
        <w:rPr>
          <w:rStyle w:val="17"/>
          <w:rFonts w:hint="eastAsia" w:ascii="仿宋_GB2312" w:hAnsi="仿宋" w:eastAsia="仿宋_GB2312" w:cs="仿宋"/>
          <w:bCs/>
          <w:sz w:val="32"/>
          <w:szCs w:val="32"/>
        </w:rPr>
        <w:t>人力资源社会保障事业发展质量不高、结构不优、城乡发展不平衡等问题仍然存在，就业创业政策还不能很好适应新产业新业态的发展，劳资纠纷隐患凸显，公共服务需求与供给不足的矛盾愈加突出，需要进一步深化改革，形成更高质量制度供给，稳步推进社会民生治理体系和治理能力现代化。</w:t>
      </w:r>
    </w:p>
    <w:p>
      <w:pPr>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Style w:val="17"/>
          <w:rFonts w:hint="eastAsia" w:ascii="仿宋_GB2312" w:hAnsi="仿宋" w:eastAsia="仿宋_GB2312" w:cs="仿宋"/>
          <w:bCs/>
          <w:sz w:val="32"/>
          <w:szCs w:val="32"/>
        </w:rPr>
      </w:pPr>
      <w:r>
        <w:rPr>
          <w:rStyle w:val="17"/>
          <w:rFonts w:hint="eastAsia" w:ascii="仿宋_GB2312" w:hAnsi="仿宋" w:eastAsia="仿宋_GB2312" w:cs="仿宋"/>
          <w:b/>
          <w:bCs/>
          <w:sz w:val="32"/>
          <w:szCs w:val="32"/>
        </w:rPr>
        <w:t>——经济发展基础仍较薄弱，人社领域仍存在较多短板。</w:t>
      </w:r>
      <w:r>
        <w:rPr>
          <w:rStyle w:val="17"/>
          <w:rFonts w:hint="eastAsia" w:ascii="仿宋_GB2312" w:hAnsi="仿宋" w:eastAsia="仿宋_GB2312" w:cs="仿宋"/>
          <w:bCs/>
          <w:sz w:val="32"/>
          <w:szCs w:val="32"/>
        </w:rPr>
        <w:t>汕尾</w:t>
      </w:r>
      <w:r>
        <w:rPr>
          <w:rStyle w:val="17"/>
          <w:rFonts w:hint="eastAsia" w:ascii="仿宋_GB2312" w:hAnsi="仿宋" w:eastAsia="仿宋_GB2312" w:cs="仿宋"/>
          <w:bCs/>
          <w:sz w:val="32"/>
          <w:szCs w:val="32"/>
          <w:lang w:eastAsia="zh-CN"/>
        </w:rPr>
        <w:t>城区</w:t>
      </w:r>
      <w:r>
        <w:rPr>
          <w:rStyle w:val="17"/>
          <w:rFonts w:hint="eastAsia" w:ascii="仿宋_GB2312" w:hAnsi="仿宋" w:eastAsia="仿宋_GB2312" w:cs="仿宋"/>
          <w:bCs/>
          <w:sz w:val="32"/>
          <w:szCs w:val="32"/>
        </w:rPr>
        <w:t>经济发展总体水平较为落后，</w:t>
      </w:r>
      <w:r>
        <w:rPr>
          <w:rFonts w:hint="eastAsia" w:ascii="仿宋_GB2312" w:hAnsi="仿宋" w:eastAsia="仿宋_GB2312" w:cs="仿宋"/>
          <w:color w:val="000000"/>
          <w:sz w:val="32"/>
          <w:szCs w:val="32"/>
        </w:rPr>
        <w:t>经济总量小，产业基础薄弱，财政收入动力不足，缺乏资金保障，重点产业、重点项目配套资金筹措压力大。</w:t>
      </w:r>
      <w:r>
        <w:rPr>
          <w:rFonts w:hint="eastAsia" w:ascii="仿宋_GB2312" w:hAnsi="仿宋" w:eastAsia="仿宋_GB2312" w:cs="仿宋"/>
          <w:color w:val="000000"/>
          <w:sz w:val="32"/>
          <w:szCs w:val="32"/>
          <w:lang w:val="en-US" w:eastAsia="zh-CN"/>
        </w:rPr>
        <w:t>创新能力不足，</w:t>
      </w:r>
      <w:r>
        <w:rPr>
          <w:rFonts w:hint="eastAsia" w:ascii="仿宋_GB2312" w:hAnsi="仿宋" w:eastAsia="仿宋_GB2312" w:cs="仿宋"/>
          <w:color w:val="000000"/>
          <w:sz w:val="32"/>
          <w:szCs w:val="32"/>
        </w:rPr>
        <w:t>平台载体不足支撑地方发展，</w:t>
      </w:r>
      <w:bookmarkStart w:id="9" w:name="_Hlk54533194"/>
      <w:r>
        <w:rPr>
          <w:rFonts w:hint="eastAsia" w:ascii="仿宋_GB2312" w:hAnsi="仿宋" w:eastAsia="仿宋_GB2312" w:cs="仿宋"/>
          <w:color w:val="000000"/>
          <w:sz w:val="32"/>
          <w:szCs w:val="32"/>
        </w:rPr>
        <w:t>产业和创新体系不完备，小微企业生存困难。</w:t>
      </w:r>
      <w:bookmarkEnd w:id="9"/>
      <w:r>
        <w:rPr>
          <w:rFonts w:hint="eastAsia" w:ascii="仿宋_GB2312" w:hAnsi="仿宋" w:eastAsia="仿宋_GB2312" w:cs="仿宋"/>
          <w:color w:val="000000"/>
          <w:sz w:val="32"/>
          <w:szCs w:val="32"/>
          <w:lang w:val="en-US" w:eastAsia="zh-CN"/>
        </w:rPr>
        <w:t>中心城区首位度不高，</w:t>
      </w:r>
      <w:r>
        <w:rPr>
          <w:rFonts w:hint="eastAsia" w:ascii="仿宋_GB2312" w:hAnsi="仿宋" w:eastAsia="仿宋_GB2312" w:cs="仿宋"/>
          <w:color w:val="000000"/>
          <w:sz w:val="32"/>
          <w:szCs w:val="32"/>
        </w:rPr>
        <w:t>民生攻坚存在短板，教育医疗卫生领域人才紧缺，民生建设水平与人民对美好生活的需求尚存差距。</w:t>
      </w:r>
      <w:r>
        <w:rPr>
          <w:rStyle w:val="17"/>
          <w:rFonts w:hint="eastAsia" w:ascii="仿宋_GB2312" w:hAnsi="仿宋" w:eastAsia="仿宋_GB2312" w:cs="仿宋"/>
          <w:bCs/>
          <w:sz w:val="32"/>
          <w:szCs w:val="32"/>
        </w:rPr>
        <w:t>汕尾</w:t>
      </w:r>
      <w:r>
        <w:rPr>
          <w:rStyle w:val="17"/>
          <w:rFonts w:hint="eastAsia" w:ascii="仿宋_GB2312" w:hAnsi="仿宋" w:eastAsia="仿宋_GB2312" w:cs="仿宋"/>
          <w:bCs/>
          <w:sz w:val="32"/>
          <w:szCs w:val="32"/>
          <w:lang w:eastAsia="zh-CN"/>
        </w:rPr>
        <w:t>市城区</w:t>
      </w:r>
      <w:r>
        <w:rPr>
          <w:rStyle w:val="17"/>
          <w:rFonts w:hint="eastAsia" w:ascii="仿宋_GB2312" w:hAnsi="仿宋" w:eastAsia="仿宋_GB2312" w:cs="仿宋"/>
          <w:bCs/>
          <w:sz w:val="32"/>
          <w:szCs w:val="32"/>
        </w:rPr>
        <w:t>地方财政资金紧张，民生领域欠账较多，基层治理体系和治理能力较为薄弱，深层次矛盾日益凸显，新旧矛盾相互交织，维护社会和谐稳定难度增加，这为汕尾</w:t>
      </w:r>
      <w:r>
        <w:rPr>
          <w:rStyle w:val="17"/>
          <w:rFonts w:hint="eastAsia" w:ascii="仿宋_GB2312" w:hAnsi="仿宋" w:eastAsia="仿宋_GB2312" w:cs="仿宋"/>
          <w:bCs/>
          <w:sz w:val="32"/>
          <w:szCs w:val="32"/>
          <w:lang w:eastAsia="zh-CN"/>
        </w:rPr>
        <w:t>城区</w:t>
      </w:r>
      <w:r>
        <w:rPr>
          <w:rStyle w:val="17"/>
          <w:rFonts w:hint="eastAsia" w:ascii="仿宋_GB2312" w:hAnsi="仿宋" w:eastAsia="仿宋_GB2312" w:cs="仿宋"/>
          <w:bCs/>
          <w:sz w:val="32"/>
          <w:szCs w:val="32"/>
        </w:rPr>
        <w:t>人力资源社会保障事业发展带来较大挑战。</w:t>
      </w:r>
    </w:p>
    <w:p>
      <w:pPr>
        <w:pStyle w:val="12"/>
        <w:rPr>
          <w:rFonts w:hint="eastAsia"/>
        </w:r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ascii="Calibri" w:hAnsi="Calibri" w:eastAsia="黑体"/>
          <w:sz w:val="44"/>
          <w:szCs w:val="44"/>
          <w:lang w:val="en-US" w:eastAsia="zh-CN"/>
        </w:rPr>
      </w:pPr>
      <w:bookmarkStart w:id="10" w:name="_Toc9357"/>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ascii="Calibri" w:hAnsi="Calibri" w:eastAsia="黑体"/>
          <w:sz w:val="44"/>
          <w:szCs w:val="44"/>
          <w:lang w:val="en-US" w:eastAsia="zh-CN"/>
        </w:r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ascii="Calibri" w:hAnsi="Calibri" w:eastAsia="黑体"/>
          <w:sz w:val="44"/>
          <w:szCs w:val="44"/>
          <w:lang w:val="en-US" w:eastAsia="zh-CN"/>
        </w:r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ascii="Calibri" w:hAnsi="Calibri" w:eastAsia="黑体"/>
          <w:sz w:val="44"/>
          <w:szCs w:val="44"/>
          <w:lang w:val="en-US" w:eastAsia="zh-CN"/>
        </w:r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ascii="Calibri" w:hAnsi="Calibri" w:eastAsia="黑体"/>
          <w:sz w:val="44"/>
          <w:szCs w:val="44"/>
          <w:lang w:val="en-US" w:eastAsia="zh-CN"/>
        </w:r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ascii="Calibri" w:hAnsi="Calibri" w:eastAsia="黑体"/>
          <w:sz w:val="44"/>
          <w:szCs w:val="44"/>
          <w:lang w:val="en-US" w:eastAsia="zh-CN"/>
        </w:r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ascii="Calibri" w:hAnsi="Calibri" w:eastAsia="黑体"/>
          <w:sz w:val="44"/>
          <w:szCs w:val="44"/>
          <w:lang w:val="en-US" w:eastAsia="zh-CN"/>
        </w:rPr>
      </w:pPr>
      <w:bookmarkStart w:id="11" w:name="_Toc2683"/>
      <w:r>
        <w:rPr>
          <w:rFonts w:ascii="Calibri" w:hAnsi="Calibri" w:eastAsia="黑体"/>
          <w:sz w:val="44"/>
          <w:szCs w:val="44"/>
          <w:lang w:val="en-US" w:eastAsia="zh-CN"/>
        </w:rPr>
        <w:t>第二章  总体要求</w:t>
      </w:r>
      <w:bookmarkEnd w:id="10"/>
      <w:bookmarkEnd w:id="11"/>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jc w:val="both"/>
        <w:rPr>
          <w:rFonts w:hint="eastAsia" w:ascii="Cambria" w:hAnsi="Cambria" w:eastAsia="楷体_GB2312"/>
          <w:color w:val="000000"/>
          <w:sz w:val="34"/>
        </w:rPr>
      </w:pPr>
      <w:bookmarkStart w:id="12" w:name="_Toc9913"/>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firstLine="2731" w:firstLineChars="800"/>
        <w:jc w:val="both"/>
        <w:rPr>
          <w:rFonts w:ascii="Cambria" w:hAnsi="Cambria" w:eastAsia="楷体_GB2312"/>
          <w:color w:val="000000"/>
          <w:sz w:val="34"/>
        </w:rPr>
      </w:pPr>
      <w:bookmarkStart w:id="13" w:name="_Toc23389"/>
      <w:r>
        <w:rPr>
          <w:rFonts w:hint="eastAsia" w:ascii="Cambria" w:hAnsi="Cambria" w:eastAsia="楷体_GB2312"/>
          <w:color w:val="000000"/>
          <w:sz w:val="34"/>
        </w:rPr>
        <w:t xml:space="preserve">第一节  </w:t>
      </w:r>
      <w:r>
        <w:rPr>
          <w:rFonts w:ascii="Cambria" w:hAnsi="Cambria" w:eastAsia="楷体_GB2312"/>
          <w:color w:val="000000"/>
          <w:sz w:val="34"/>
        </w:rPr>
        <w:t>指导思想</w:t>
      </w:r>
      <w:bookmarkEnd w:id="12"/>
      <w:bookmarkEnd w:id="13"/>
    </w:p>
    <w:p>
      <w:pPr>
        <w:keepLines w:val="0"/>
        <w:pageBreakBefore w:val="0"/>
        <w:kinsoku/>
        <w:wordWrap/>
        <w:overflowPunct/>
        <w:topLinePunct w:val="0"/>
        <w:autoSpaceDE/>
        <w:autoSpaceDN/>
        <w:bidi w:val="0"/>
        <w:adjustRightInd w:val="0"/>
        <w:snapToGrid w:val="0"/>
        <w:spacing w:line="560" w:lineRule="exact"/>
        <w:rPr>
          <w:rStyle w:val="17"/>
          <w:rFonts w:ascii="仿宋_GB2312" w:hAnsi="仿宋" w:eastAsia="仿宋_GB2312" w:cs="仿宋"/>
          <w:bCs/>
          <w:color w:val="auto"/>
          <w:sz w:val="32"/>
          <w:szCs w:val="32"/>
        </w:rPr>
      </w:pPr>
      <w:r>
        <w:rPr>
          <w:rStyle w:val="17"/>
          <w:rFonts w:hint="eastAsia" w:ascii="仿宋_GB2312" w:hAnsi="仿宋" w:eastAsia="仿宋_GB2312" w:cs="仿宋"/>
          <w:bCs/>
          <w:sz w:val="32"/>
          <w:szCs w:val="32"/>
        </w:rPr>
        <w:t xml:space="preserve">     </w:t>
      </w:r>
      <w:r>
        <w:rPr>
          <w:rStyle w:val="17"/>
          <w:rFonts w:hint="eastAsia" w:ascii="仿宋_GB2312" w:hAnsi="仿宋" w:eastAsia="仿宋_GB2312" w:cs="仿宋"/>
          <w:bCs/>
          <w:color w:val="auto"/>
          <w:sz w:val="32"/>
          <w:szCs w:val="32"/>
        </w:rPr>
        <w:t>高举中国特色社会主义伟大旗帜，深入贯彻党的十九大和十九届二中、三中、四中、五中</w:t>
      </w:r>
      <w:r>
        <w:rPr>
          <w:rStyle w:val="17"/>
          <w:rFonts w:hint="eastAsia" w:ascii="仿宋_GB2312" w:hAnsi="仿宋" w:eastAsia="仿宋_GB2312" w:cs="仿宋"/>
          <w:bCs/>
          <w:color w:val="auto"/>
          <w:sz w:val="32"/>
          <w:szCs w:val="32"/>
          <w:highlight w:val="none"/>
        </w:rPr>
        <w:t>、六中</w:t>
      </w:r>
      <w:r>
        <w:rPr>
          <w:rStyle w:val="17"/>
          <w:rFonts w:hint="eastAsia" w:ascii="仿宋_GB2312" w:hAnsi="仿宋" w:eastAsia="仿宋_GB2312" w:cs="仿宋"/>
          <w:bCs/>
          <w:color w:val="auto"/>
          <w:sz w:val="32"/>
          <w:szCs w:val="32"/>
        </w:rPr>
        <w:t>全会精神，</w:t>
      </w:r>
      <w:r>
        <w:rPr>
          <w:rStyle w:val="17"/>
          <w:rFonts w:hint="eastAsia" w:ascii="仿宋_GB2312" w:hAnsi="仿宋" w:eastAsia="仿宋_GB2312" w:cs="仿宋"/>
          <w:bCs/>
          <w:color w:val="auto"/>
          <w:sz w:val="32"/>
          <w:szCs w:val="32"/>
          <w:highlight w:val="none"/>
        </w:rPr>
        <w:t>弘扬伟大建党精神，坚持以习近平新时代中国特色社会主义思想为</w:t>
      </w:r>
      <w:r>
        <w:rPr>
          <w:rStyle w:val="17"/>
          <w:rFonts w:hint="eastAsia" w:ascii="仿宋_GB2312" w:hAnsi="仿宋" w:eastAsia="仿宋_GB2312" w:cs="仿宋"/>
          <w:bCs/>
          <w:color w:val="auto"/>
          <w:sz w:val="32"/>
          <w:szCs w:val="32"/>
          <w:highlight w:val="none"/>
          <w:lang w:eastAsia="zh-CN"/>
        </w:rPr>
        <w:t>指引</w:t>
      </w:r>
      <w:r>
        <w:rPr>
          <w:rStyle w:val="17"/>
          <w:rFonts w:hint="eastAsia" w:ascii="仿宋_GB2312" w:hAnsi="仿宋" w:eastAsia="仿宋_GB2312" w:cs="仿宋"/>
          <w:bCs/>
          <w:color w:val="auto"/>
          <w:sz w:val="32"/>
          <w:szCs w:val="32"/>
          <w:highlight w:val="none"/>
        </w:rPr>
        <w:t>，</w:t>
      </w:r>
      <w:r>
        <w:rPr>
          <w:rStyle w:val="17"/>
          <w:rFonts w:hint="eastAsia" w:ascii="仿宋_GB2312" w:hAnsi="仿宋" w:eastAsia="仿宋_GB2312" w:cs="仿宋"/>
          <w:bCs/>
          <w:color w:val="auto"/>
          <w:sz w:val="32"/>
          <w:szCs w:val="32"/>
        </w:rPr>
        <w:t>深入贯彻习近平总书记对广东重要讲话和重要指示批示精神，统筹推进“五位一体”总体布局，协调推进“四个全面”战略布局，贯彻省委省政府“1+1+9”工作部署</w:t>
      </w:r>
      <w:r>
        <w:rPr>
          <w:rStyle w:val="17"/>
          <w:rFonts w:hint="eastAsia" w:ascii="仿宋_GB2312" w:hAnsi="仿宋" w:eastAsia="仿宋_GB2312" w:cs="仿宋"/>
          <w:bCs/>
          <w:color w:val="auto"/>
          <w:sz w:val="32"/>
          <w:szCs w:val="32"/>
          <w:lang w:eastAsia="zh-CN"/>
        </w:rPr>
        <w:t>和市委、区委工作安排</w:t>
      </w:r>
      <w:r>
        <w:rPr>
          <w:rStyle w:val="17"/>
          <w:rFonts w:hint="eastAsia" w:ascii="仿宋_GB2312" w:hAnsi="仿宋" w:eastAsia="仿宋_GB2312" w:cs="仿宋"/>
          <w:bCs/>
          <w:color w:val="auto"/>
          <w:sz w:val="32"/>
          <w:szCs w:val="32"/>
        </w:rPr>
        <w:t>，坚持以人民为中心的发展思想，坚持新发展理念，坚持稳中求进工作总基调，以推动高质量发展为主题，以供给侧结构性改革为主线，以改革创新为根本动力，以满足人民日益增长的美好生活需要为根本目的，以“双区驱动”为战略引领，以人才为第一资源、民生为第一追求，</w:t>
      </w:r>
      <w:r>
        <w:rPr>
          <w:rStyle w:val="17"/>
          <w:rFonts w:hint="eastAsia" w:ascii="仿宋_GB2312" w:hAnsi="仿宋" w:eastAsia="仿宋_GB2312" w:cs="仿宋"/>
          <w:bCs/>
          <w:color w:val="auto"/>
          <w:sz w:val="32"/>
          <w:szCs w:val="32"/>
          <w:highlight w:val="none"/>
          <w:lang w:val="en-US" w:eastAsia="zh-CN"/>
        </w:rPr>
        <w:t>聚焦高质量发展、竞争力提升、现代化建设，</w:t>
      </w:r>
      <w:r>
        <w:rPr>
          <w:rStyle w:val="17"/>
          <w:rFonts w:hint="eastAsia" w:ascii="仿宋_GB2312" w:hAnsi="仿宋" w:eastAsia="仿宋_GB2312" w:cs="仿宋"/>
          <w:bCs/>
          <w:color w:val="auto"/>
          <w:sz w:val="32"/>
          <w:szCs w:val="32"/>
          <w:highlight w:val="none"/>
        </w:rPr>
        <w:t>抓重点、补短板、强弱项、防风险、稳预期，着力促进就业创业，深化社保制度改革，加强人事人才工作，构建和谐劳动关系，提升公共服务能力，全面建设民生保障新高地和人才集聚新高地，</w:t>
      </w:r>
      <w:r>
        <w:rPr>
          <w:rStyle w:val="17"/>
          <w:rFonts w:hint="eastAsia" w:ascii="仿宋_GB2312" w:hAnsi="仿宋" w:eastAsia="仿宋_GB2312" w:cs="仿宋"/>
          <w:bCs/>
          <w:color w:val="auto"/>
          <w:sz w:val="32"/>
          <w:szCs w:val="32"/>
        </w:rPr>
        <w:t>推动全</w:t>
      </w:r>
      <w:r>
        <w:rPr>
          <w:rStyle w:val="17"/>
          <w:rFonts w:hint="eastAsia" w:ascii="仿宋_GB2312" w:hAnsi="仿宋" w:eastAsia="仿宋_GB2312" w:cs="仿宋"/>
          <w:bCs/>
          <w:color w:val="auto"/>
          <w:sz w:val="32"/>
          <w:szCs w:val="32"/>
          <w:lang w:eastAsia="zh-CN"/>
        </w:rPr>
        <w:t>区</w:t>
      </w:r>
      <w:r>
        <w:rPr>
          <w:rStyle w:val="17"/>
          <w:rFonts w:hint="eastAsia" w:ascii="仿宋_GB2312" w:hAnsi="仿宋" w:eastAsia="仿宋_GB2312" w:cs="仿宋"/>
          <w:bCs/>
          <w:color w:val="auto"/>
          <w:sz w:val="32"/>
          <w:szCs w:val="32"/>
        </w:rPr>
        <w:t>人力资源社会保障事业高质量发展，为</w:t>
      </w:r>
      <w:r>
        <w:rPr>
          <w:rStyle w:val="17"/>
          <w:rFonts w:ascii="仿宋_GB2312" w:hAnsi="仿宋" w:eastAsia="仿宋_GB2312" w:cs="仿宋"/>
          <w:bCs/>
          <w:color w:val="auto"/>
          <w:sz w:val="32"/>
          <w:szCs w:val="32"/>
        </w:rPr>
        <w:t>汕尾奋力开启新征程、建设成为沿海经济带靓丽明珠</w:t>
      </w:r>
      <w:r>
        <w:rPr>
          <w:rStyle w:val="17"/>
          <w:rFonts w:hint="eastAsia" w:ascii="仿宋_GB2312" w:hAnsi="仿宋" w:eastAsia="仿宋_GB2312" w:cs="仿宋"/>
          <w:bCs/>
          <w:color w:val="auto"/>
          <w:sz w:val="32"/>
          <w:szCs w:val="32"/>
        </w:rPr>
        <w:t>作出新的更大贡献。</w:t>
      </w: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hint="eastAsia" w:ascii="Cambria" w:hAnsi="Cambria" w:eastAsia="楷体_GB2312"/>
          <w:color w:val="auto"/>
          <w:sz w:val="34"/>
        </w:rPr>
      </w:pPr>
      <w:bookmarkStart w:id="14" w:name="_Toc3932"/>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Cambria" w:hAnsi="Cambria" w:eastAsia="楷体_GB2312"/>
          <w:color w:val="auto"/>
          <w:sz w:val="34"/>
        </w:rPr>
      </w:pPr>
      <w:bookmarkStart w:id="15" w:name="_Toc20897"/>
      <w:r>
        <w:rPr>
          <w:rFonts w:hint="eastAsia" w:ascii="Cambria" w:hAnsi="Cambria" w:eastAsia="楷体_GB2312"/>
          <w:color w:val="auto"/>
          <w:sz w:val="34"/>
        </w:rPr>
        <w:t xml:space="preserve">第二节  </w:t>
      </w:r>
      <w:r>
        <w:rPr>
          <w:rFonts w:ascii="Cambria" w:hAnsi="Cambria" w:eastAsia="楷体_GB2312"/>
          <w:color w:val="auto"/>
          <w:sz w:val="34"/>
        </w:rPr>
        <w:t>基本原则</w:t>
      </w:r>
      <w:bookmarkEnd w:id="14"/>
      <w:bookmarkEnd w:id="15"/>
    </w:p>
    <w:p>
      <w:pPr>
        <w:keepLines w:val="0"/>
        <w:pageBreakBefore w:val="0"/>
        <w:kinsoku/>
        <w:wordWrap/>
        <w:overflowPunct/>
        <w:topLinePunct w:val="0"/>
        <w:autoSpaceDE/>
        <w:autoSpaceDN/>
        <w:bidi w:val="0"/>
        <w:adjustRightInd w:val="0"/>
        <w:snapToGrid w:val="0"/>
        <w:spacing w:line="560" w:lineRule="exact"/>
        <w:ind w:firstLine="643" w:firstLineChars="200"/>
        <w:rPr>
          <w:rStyle w:val="17"/>
          <w:rFonts w:ascii="仿宋_GB2312" w:hAnsi="仿宋" w:eastAsia="仿宋_GB2312" w:cs="仿宋"/>
          <w:bCs/>
          <w:color w:val="auto"/>
          <w:sz w:val="32"/>
          <w:szCs w:val="32"/>
        </w:rPr>
      </w:pPr>
      <w:r>
        <w:rPr>
          <w:rStyle w:val="17"/>
          <w:rFonts w:hint="eastAsia" w:ascii="仿宋_GB2312" w:hAnsi="仿宋" w:eastAsia="仿宋_GB2312" w:cs="仿宋"/>
          <w:b/>
          <w:bCs/>
          <w:color w:val="auto"/>
          <w:sz w:val="32"/>
          <w:szCs w:val="32"/>
        </w:rPr>
        <w:t>——坚持促发展与惠民生相统筹。</w:t>
      </w:r>
      <w:r>
        <w:rPr>
          <w:rStyle w:val="17"/>
          <w:rFonts w:hint="eastAsia" w:ascii="仿宋_GB2312" w:hAnsi="仿宋" w:eastAsia="仿宋_GB2312" w:cs="仿宋"/>
          <w:bCs/>
          <w:color w:val="auto"/>
          <w:sz w:val="32"/>
          <w:szCs w:val="32"/>
        </w:rPr>
        <w:t>坚持党的统一集中领导，增强“四个意识”，坚定“四个自信”，做到“两个维护”，紧紧抓住以人民为中心这个出发点和落脚点，增强改革创新精神，自觉融入全</w:t>
      </w:r>
      <w:r>
        <w:rPr>
          <w:rStyle w:val="17"/>
          <w:rFonts w:hint="eastAsia" w:ascii="仿宋_GB2312" w:hAnsi="仿宋" w:eastAsia="仿宋_GB2312" w:cs="仿宋"/>
          <w:bCs/>
          <w:color w:val="auto"/>
          <w:sz w:val="32"/>
          <w:szCs w:val="32"/>
          <w:lang w:eastAsia="zh-CN"/>
        </w:rPr>
        <w:t>区</w:t>
      </w:r>
      <w:r>
        <w:rPr>
          <w:rStyle w:val="17"/>
          <w:rFonts w:hint="eastAsia" w:ascii="仿宋_GB2312" w:hAnsi="仿宋" w:eastAsia="仿宋_GB2312" w:cs="仿宋"/>
          <w:bCs/>
          <w:color w:val="auto"/>
          <w:sz w:val="32"/>
          <w:szCs w:val="32"/>
        </w:rPr>
        <w:t>经济社会发展大局，不断强化人才对高质量发展的“前轮驱动”、民生对高质量发展的“后轮保障”功能，推动人力资源社会保障事业发展质量变革、效率变革、动力变革，以更高水平的民生保障稳定社会预期、解决群众后顾之忧，为</w:t>
      </w:r>
      <w:r>
        <w:rPr>
          <w:rStyle w:val="17"/>
          <w:rFonts w:hint="eastAsia" w:ascii="仿宋_GB2312" w:hAnsi="仿宋" w:eastAsia="仿宋_GB2312" w:cs="仿宋"/>
          <w:bCs/>
          <w:color w:val="auto"/>
          <w:sz w:val="32"/>
          <w:szCs w:val="32"/>
          <w:lang w:eastAsia="zh-CN"/>
        </w:rPr>
        <w:t>城区</w:t>
      </w:r>
      <w:r>
        <w:rPr>
          <w:rStyle w:val="17"/>
          <w:rFonts w:hint="eastAsia" w:ascii="仿宋_GB2312" w:hAnsi="仿宋" w:eastAsia="仿宋_GB2312" w:cs="仿宋"/>
          <w:bCs/>
          <w:color w:val="auto"/>
          <w:sz w:val="32"/>
          <w:szCs w:val="32"/>
        </w:rPr>
        <w:t>经济发展提供强大内生动力。</w:t>
      </w:r>
    </w:p>
    <w:p>
      <w:pPr>
        <w:keepLines w:val="0"/>
        <w:pageBreakBefore w:val="0"/>
        <w:kinsoku/>
        <w:wordWrap/>
        <w:overflowPunct/>
        <w:topLinePunct w:val="0"/>
        <w:autoSpaceDE/>
        <w:autoSpaceDN/>
        <w:bidi w:val="0"/>
        <w:adjustRightInd w:val="0"/>
        <w:snapToGrid w:val="0"/>
        <w:spacing w:line="560" w:lineRule="exact"/>
        <w:ind w:firstLine="643" w:firstLineChars="200"/>
        <w:rPr>
          <w:rStyle w:val="17"/>
          <w:rFonts w:ascii="仿宋_GB2312" w:hAnsi="仿宋" w:eastAsia="仿宋_GB2312" w:cs="仿宋"/>
          <w:bCs/>
          <w:sz w:val="32"/>
          <w:szCs w:val="32"/>
        </w:rPr>
      </w:pPr>
      <w:r>
        <w:rPr>
          <w:rStyle w:val="17"/>
          <w:rFonts w:hint="eastAsia" w:ascii="仿宋_GB2312" w:hAnsi="仿宋" w:eastAsia="仿宋_GB2312" w:cs="仿宋"/>
          <w:b/>
          <w:bCs/>
          <w:color w:val="auto"/>
          <w:sz w:val="32"/>
          <w:szCs w:val="32"/>
        </w:rPr>
        <w:t>——坚持尽力而为与量力而行相统一。</w:t>
      </w:r>
      <w:r>
        <w:rPr>
          <w:rStyle w:val="17"/>
          <w:rFonts w:hint="eastAsia" w:ascii="仿宋_GB2312" w:hAnsi="仿宋" w:eastAsia="仿宋_GB2312" w:cs="仿宋"/>
          <w:bCs/>
          <w:sz w:val="32"/>
          <w:szCs w:val="32"/>
        </w:rPr>
        <w:t>聚焦群众所急所需所盼的民生实事，强化普惠性、基础性、兜底性，综合考虑经济发展水平和财力可持续发展，合理安排财政资金支出规模和结构，精准施策，稳妥推进，切实维护好人民群众最关心最切身的就业创业、社会保障、收入分配等根本利益，使改革发展成果更多更公平惠及全体人民。</w:t>
      </w:r>
    </w:p>
    <w:p>
      <w:pPr>
        <w:keepLines w:val="0"/>
        <w:pageBreakBefore w:val="0"/>
        <w:kinsoku/>
        <w:wordWrap/>
        <w:overflowPunct/>
        <w:topLinePunct w:val="0"/>
        <w:autoSpaceDE/>
        <w:autoSpaceDN/>
        <w:bidi w:val="0"/>
        <w:adjustRightInd w:val="0"/>
        <w:snapToGrid w:val="0"/>
        <w:spacing w:line="560" w:lineRule="exact"/>
        <w:ind w:firstLine="643" w:firstLineChars="200"/>
        <w:rPr>
          <w:rStyle w:val="17"/>
          <w:rFonts w:ascii="仿宋_GB2312" w:hAnsi="仿宋" w:eastAsia="仿宋_GB2312" w:cs="仿宋"/>
          <w:bCs/>
          <w:color w:val="auto"/>
          <w:sz w:val="32"/>
          <w:szCs w:val="32"/>
        </w:rPr>
      </w:pPr>
      <w:r>
        <w:rPr>
          <w:rStyle w:val="17"/>
          <w:rFonts w:hint="eastAsia" w:ascii="仿宋_GB2312" w:hAnsi="仿宋" w:eastAsia="仿宋_GB2312" w:cs="仿宋"/>
          <w:b/>
          <w:bCs/>
          <w:color w:val="auto"/>
          <w:sz w:val="32"/>
          <w:szCs w:val="32"/>
        </w:rPr>
        <w:t>——坚持有效市场和有为政府相协调。</w:t>
      </w:r>
      <w:r>
        <w:rPr>
          <w:rStyle w:val="17"/>
          <w:rFonts w:hint="eastAsia" w:ascii="仿宋_GB2312" w:hAnsi="仿宋" w:eastAsia="仿宋_GB2312" w:cs="仿宋"/>
          <w:bCs/>
          <w:color w:val="auto"/>
          <w:sz w:val="32"/>
          <w:szCs w:val="32"/>
        </w:rPr>
        <w:t>妥善处理政府和市场的关系，充分发挥市场在资源配置中的决定性作用，激发市场活力和社会创造力，深化体制机制改革创新，持续推进“放管服”改革，加强人力资源社会保障行风建设，提高人力资源要素配置效率和民生保障水平。</w:t>
      </w:r>
    </w:p>
    <w:p>
      <w:pPr>
        <w:keepLines w:val="0"/>
        <w:pageBreakBefore w:val="0"/>
        <w:kinsoku/>
        <w:wordWrap/>
        <w:overflowPunct/>
        <w:topLinePunct w:val="0"/>
        <w:autoSpaceDE/>
        <w:autoSpaceDN/>
        <w:bidi w:val="0"/>
        <w:adjustRightInd w:val="0"/>
        <w:snapToGrid w:val="0"/>
        <w:spacing w:line="560" w:lineRule="exact"/>
        <w:ind w:firstLine="640" w:firstLineChars="200"/>
        <w:rPr>
          <w:rStyle w:val="17"/>
          <w:rFonts w:hint="eastAsia" w:ascii="仿宋_GB2312" w:hAnsi="仿宋" w:eastAsia="仿宋_GB2312" w:cs="仿宋"/>
          <w:bCs/>
          <w:color w:val="auto"/>
          <w:sz w:val="32"/>
          <w:szCs w:val="32"/>
        </w:rPr>
      </w:pPr>
      <w:r>
        <w:rPr>
          <w:rStyle w:val="17"/>
          <w:rFonts w:ascii="仿宋_GB2312" w:hAnsi="仿宋" w:eastAsia="仿宋_GB2312" w:cs="仿宋"/>
          <w:bCs/>
          <w:color w:val="auto"/>
          <w:sz w:val="32"/>
          <w:szCs w:val="32"/>
        </w:rPr>
        <w:softHyphen/>
      </w:r>
      <w:r>
        <w:rPr>
          <w:rStyle w:val="17"/>
          <w:rFonts w:ascii="仿宋_GB2312" w:hAnsi="仿宋" w:eastAsia="仿宋_GB2312" w:cs="仿宋"/>
          <w:b/>
          <w:bCs/>
          <w:color w:val="auto"/>
          <w:sz w:val="32"/>
          <w:szCs w:val="32"/>
        </w:rPr>
        <w:t>——</w:t>
      </w:r>
      <w:r>
        <w:rPr>
          <w:rStyle w:val="17"/>
          <w:rFonts w:hint="eastAsia" w:ascii="仿宋_GB2312" w:hAnsi="仿宋" w:eastAsia="仿宋_GB2312" w:cs="仿宋"/>
          <w:b/>
          <w:bCs/>
          <w:color w:val="auto"/>
          <w:sz w:val="32"/>
          <w:szCs w:val="32"/>
        </w:rPr>
        <w:t>坚持系统推进与重点突破相统一。</w:t>
      </w:r>
      <w:r>
        <w:rPr>
          <w:rStyle w:val="17"/>
          <w:rFonts w:hint="eastAsia" w:ascii="仿宋_GB2312" w:hAnsi="仿宋" w:eastAsia="仿宋_GB2312" w:cs="仿宋"/>
          <w:bCs/>
          <w:color w:val="auto"/>
          <w:sz w:val="32"/>
          <w:szCs w:val="32"/>
        </w:rPr>
        <w:t>坚持系统观念，加强前瞻性思考、全局性谋划、战略性布局、整体性推进，坚持市</w:t>
      </w:r>
      <w:r>
        <w:rPr>
          <w:rStyle w:val="17"/>
          <w:rFonts w:hint="eastAsia" w:ascii="仿宋_GB2312" w:hAnsi="仿宋" w:eastAsia="仿宋_GB2312" w:cs="仿宋"/>
          <w:bCs/>
          <w:color w:val="auto"/>
          <w:sz w:val="32"/>
          <w:szCs w:val="32"/>
          <w:lang w:eastAsia="zh-CN"/>
        </w:rPr>
        <w:t>区</w:t>
      </w:r>
      <w:r>
        <w:rPr>
          <w:rStyle w:val="17"/>
          <w:rFonts w:hint="eastAsia" w:ascii="仿宋_GB2312" w:hAnsi="仿宋" w:eastAsia="仿宋_GB2312" w:cs="仿宋"/>
          <w:bCs/>
          <w:color w:val="auto"/>
          <w:sz w:val="32"/>
          <w:szCs w:val="32"/>
        </w:rPr>
        <w:t>一盘棋，更好发挥各方面积极性，着力固根基、扬优势、补短板、强弱项，注重防范化解重大风险挑战，实现发展质量、结构、规模、效益、安全相统一。聚焦重点领域、关键环节，找准改革突破口和发力点，集中力量逐个攻坚突破，以点带面带动全局发展。</w:t>
      </w:r>
    </w:p>
    <w:p>
      <w:pPr>
        <w:pStyle w:val="2"/>
      </w:pP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Cambria" w:hAnsi="Cambria" w:eastAsia="楷体_GB2312"/>
          <w:color w:val="auto"/>
          <w:sz w:val="34"/>
        </w:rPr>
      </w:pPr>
      <w:bookmarkStart w:id="16" w:name="_Toc27571"/>
      <w:bookmarkStart w:id="17" w:name="_Toc18889"/>
      <w:r>
        <w:rPr>
          <w:rFonts w:hint="eastAsia" w:ascii="Cambria" w:hAnsi="Cambria" w:eastAsia="楷体_GB2312"/>
          <w:color w:val="auto"/>
          <w:sz w:val="34"/>
        </w:rPr>
        <w:t>第三节  主要</w:t>
      </w:r>
      <w:r>
        <w:rPr>
          <w:rFonts w:ascii="Cambria" w:hAnsi="Cambria" w:eastAsia="楷体_GB2312"/>
          <w:color w:val="auto"/>
          <w:sz w:val="34"/>
        </w:rPr>
        <w:t>目标</w:t>
      </w:r>
      <w:bookmarkEnd w:id="16"/>
      <w:bookmarkEnd w:id="17"/>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outlineLvl w:val="9"/>
        <w:rPr>
          <w:rStyle w:val="17"/>
          <w:rFonts w:ascii="仿宋_GB2312" w:hAnsi="仿宋" w:eastAsia="仿宋_GB2312" w:cs="仿宋"/>
          <w:bCs/>
          <w:color w:val="auto"/>
          <w:sz w:val="32"/>
          <w:szCs w:val="32"/>
        </w:rPr>
      </w:pPr>
      <w:r>
        <w:rPr>
          <w:rStyle w:val="17"/>
          <w:rFonts w:hint="eastAsia" w:ascii="仿宋_GB2312" w:hAnsi="仿宋" w:eastAsia="仿宋_GB2312" w:cs="仿宋"/>
          <w:bCs/>
          <w:color w:val="auto"/>
          <w:sz w:val="32"/>
          <w:szCs w:val="32"/>
        </w:rPr>
        <w:t>到2025年，推动高质量发展的人力资源社会保障制度体系更加成熟完善</w:t>
      </w:r>
      <w:r>
        <w:rPr>
          <w:rStyle w:val="17"/>
          <w:rFonts w:hint="eastAsia" w:ascii="仿宋_GB2312" w:hAnsi="仿宋_GB2312" w:eastAsia="仿宋_GB2312" w:cs="仿宋_GB2312"/>
          <w:bCs/>
          <w:color w:val="auto"/>
          <w:sz w:val="32"/>
          <w:szCs w:val="32"/>
          <w:highlight w:val="none"/>
        </w:rPr>
        <w:t>，</w:t>
      </w:r>
      <w:r>
        <w:rPr>
          <w:rStyle w:val="17"/>
          <w:rFonts w:hint="eastAsia" w:ascii="仿宋_GB2312" w:hAnsi="仿宋_GB2312" w:eastAsia="仿宋_GB2312" w:cs="仿宋_GB2312"/>
          <w:bCs/>
          <w:color w:val="auto"/>
          <w:sz w:val="32"/>
          <w:szCs w:val="32"/>
          <w:highlight w:val="none"/>
          <w:lang w:val="en-US" w:eastAsia="zh-CN"/>
        </w:rPr>
        <w:t>公共就业创业服务体系建成，</w:t>
      </w:r>
      <w:r>
        <w:rPr>
          <w:rFonts w:hint="eastAsia" w:ascii="仿宋_GB2312" w:hAnsi="仿宋_GB2312" w:eastAsia="仿宋_GB2312" w:cs="仿宋_GB2312"/>
          <w:b w:val="0"/>
          <w:bCs w:val="0"/>
          <w:color w:val="auto"/>
          <w:sz w:val="32"/>
          <w:szCs w:val="32"/>
          <w:highlight w:val="none"/>
        </w:rPr>
        <w:t>创业带动</w:t>
      </w:r>
      <w:r>
        <w:rPr>
          <w:rFonts w:hint="eastAsia" w:ascii="仿宋_GB2312" w:hAnsi="仿宋_GB2312" w:eastAsia="仿宋_GB2312" w:cs="仿宋_GB2312"/>
          <w:b w:val="0"/>
          <w:bCs w:val="0"/>
          <w:color w:val="auto"/>
          <w:sz w:val="32"/>
          <w:szCs w:val="32"/>
          <w:highlight w:val="none"/>
          <w:lang w:val="en-US" w:eastAsia="zh-CN"/>
        </w:rPr>
        <w:t>就业</w:t>
      </w:r>
      <w:r>
        <w:rPr>
          <w:rFonts w:hint="eastAsia" w:ascii="仿宋_GB2312" w:hAnsi="仿宋_GB2312" w:eastAsia="仿宋_GB2312" w:cs="仿宋_GB2312"/>
          <w:b w:val="0"/>
          <w:bCs w:val="0"/>
          <w:color w:val="auto"/>
          <w:sz w:val="32"/>
          <w:szCs w:val="32"/>
          <w:highlight w:val="none"/>
        </w:rPr>
        <w:t>作用</w:t>
      </w:r>
      <w:r>
        <w:rPr>
          <w:rFonts w:hint="eastAsia" w:ascii="仿宋_GB2312" w:hAnsi="仿宋_GB2312" w:eastAsia="仿宋_GB2312" w:cs="仿宋_GB2312"/>
          <w:b w:val="0"/>
          <w:bCs w:val="0"/>
          <w:color w:val="auto"/>
          <w:sz w:val="32"/>
          <w:szCs w:val="32"/>
          <w:highlight w:val="none"/>
          <w:lang w:val="en-US" w:eastAsia="zh-CN"/>
        </w:rPr>
        <w:t>显著</w:t>
      </w:r>
      <w:r>
        <w:rPr>
          <w:rFonts w:hint="eastAsia" w:ascii="仿宋_GB2312" w:hAnsi="仿宋_GB2312" w:eastAsia="仿宋_GB2312" w:cs="仿宋_GB2312"/>
          <w:b w:val="0"/>
          <w:bCs w:val="0"/>
          <w:color w:val="auto"/>
          <w:sz w:val="32"/>
          <w:szCs w:val="32"/>
          <w:highlight w:val="none"/>
          <w:lang w:eastAsia="zh-CN"/>
        </w:rPr>
        <w:t>，</w:t>
      </w:r>
      <w:r>
        <w:rPr>
          <w:rStyle w:val="17"/>
          <w:rFonts w:hint="eastAsia" w:ascii="仿宋_GB2312" w:hAnsi="仿宋_GB2312" w:eastAsia="仿宋_GB2312" w:cs="仿宋_GB2312"/>
          <w:bCs/>
          <w:color w:val="auto"/>
          <w:sz w:val="32"/>
          <w:szCs w:val="32"/>
          <w:highlight w:val="none"/>
          <w:lang w:val="en-US" w:eastAsia="zh-CN"/>
        </w:rPr>
        <w:t>劳动关系更加和谐，</w:t>
      </w:r>
      <w:r>
        <w:rPr>
          <w:rStyle w:val="17"/>
          <w:rFonts w:hint="eastAsia" w:ascii="仿宋_GB2312" w:hAnsi="仿宋_GB2312" w:eastAsia="仿宋_GB2312" w:cs="仿宋_GB2312"/>
          <w:bCs/>
          <w:color w:val="auto"/>
          <w:sz w:val="32"/>
          <w:szCs w:val="32"/>
          <w:highlight w:val="none"/>
        </w:rPr>
        <w:t>人力资源要素自主有序流动，城乡区域差距明显缩小，公共服务水平更趋均衡，实现“劳有乐业、才有优用、技有专长、老有颐养”，民生保障新高地和人才集聚新高地全面建成。</w:t>
      </w:r>
    </w:p>
    <w:p>
      <w:pPr>
        <w:keepLines w:val="0"/>
        <w:pageBreakBefore w:val="0"/>
        <w:kinsoku/>
        <w:wordWrap/>
        <w:overflowPunct/>
        <w:topLinePunct w:val="0"/>
        <w:autoSpaceDE/>
        <w:autoSpaceDN/>
        <w:bidi w:val="0"/>
        <w:adjustRightInd w:val="0"/>
        <w:snapToGrid w:val="0"/>
        <w:spacing w:line="560" w:lineRule="exact"/>
        <w:ind w:firstLine="643" w:firstLineChars="200"/>
        <w:rPr>
          <w:rStyle w:val="17"/>
          <w:rFonts w:ascii="仿宋_GB2312" w:hAnsi="仿宋" w:eastAsia="仿宋_GB2312" w:cs="仿宋"/>
          <w:bCs/>
          <w:color w:val="auto"/>
          <w:sz w:val="32"/>
          <w:szCs w:val="32"/>
        </w:rPr>
      </w:pPr>
      <w:r>
        <w:rPr>
          <w:rStyle w:val="17"/>
          <w:rFonts w:hint="eastAsia" w:ascii="仿宋_GB2312" w:hAnsi="仿宋" w:eastAsia="仿宋_GB2312" w:cs="仿宋"/>
          <w:b/>
          <w:color w:val="auto"/>
          <w:sz w:val="32"/>
          <w:szCs w:val="32"/>
        </w:rPr>
        <w:t>——实现更充分更高质量就业。</w:t>
      </w:r>
      <w:r>
        <w:rPr>
          <w:rStyle w:val="17"/>
          <w:rFonts w:hint="eastAsia" w:ascii="仿宋_GB2312" w:hAnsi="仿宋" w:eastAsia="仿宋_GB2312" w:cs="仿宋"/>
          <w:bCs/>
          <w:color w:val="auto"/>
          <w:sz w:val="32"/>
          <w:szCs w:val="32"/>
        </w:rPr>
        <w:t>就业优先政策全面强化，就业政策与经济社会发展宏观政策联动更加紧密，多渠道就业促进机制更加健全，创新创业引领作用更加凸显，就业规模持续稳定，就业结构不断改善，就业质量进一步提升，全方位公共就业创业服务体系全面建成，就业局势总体平稳。“十四五”期间实现城镇新增就业</w:t>
      </w:r>
      <w:r>
        <w:rPr>
          <w:rStyle w:val="17"/>
          <w:rFonts w:hint="eastAsia" w:ascii="仿宋_GB2312" w:hAnsi="仿宋" w:eastAsia="仿宋_GB2312" w:cs="仿宋"/>
          <w:bCs/>
          <w:color w:val="auto"/>
          <w:sz w:val="32"/>
          <w:szCs w:val="32"/>
          <w:lang w:val="en-US" w:eastAsia="zh-CN"/>
        </w:rPr>
        <w:t>2.5</w:t>
      </w:r>
      <w:r>
        <w:rPr>
          <w:rStyle w:val="17"/>
          <w:rFonts w:hint="eastAsia" w:ascii="仿宋_GB2312" w:hAnsi="仿宋" w:eastAsia="仿宋_GB2312" w:cs="仿宋"/>
          <w:bCs/>
          <w:color w:val="auto"/>
          <w:sz w:val="32"/>
          <w:szCs w:val="32"/>
        </w:rPr>
        <w:t>万人以上，城镇登记失业率控制在3.0%以内。每年促进创业带动就业2000人</w:t>
      </w:r>
      <w:r>
        <w:rPr>
          <w:rStyle w:val="17"/>
          <w:rFonts w:hint="eastAsia" w:ascii="仿宋_GB2312" w:hAnsi="仿宋" w:eastAsia="仿宋_GB2312" w:cs="仿宋"/>
          <w:bCs/>
          <w:color w:val="auto"/>
          <w:sz w:val="32"/>
          <w:szCs w:val="32"/>
          <w:lang w:eastAsia="zh-CN"/>
        </w:rPr>
        <w:t>以上</w:t>
      </w:r>
      <w:r>
        <w:rPr>
          <w:rStyle w:val="17"/>
          <w:rFonts w:hint="eastAsia" w:ascii="仿宋_GB2312" w:hAnsi="仿宋" w:eastAsia="仿宋_GB2312" w:cs="仿宋"/>
          <w:bCs/>
          <w:color w:val="auto"/>
          <w:sz w:val="32"/>
          <w:szCs w:val="32"/>
        </w:rPr>
        <w:t>，高校毕业生就业率达90%</w:t>
      </w:r>
      <w:r>
        <w:rPr>
          <w:rStyle w:val="17"/>
          <w:rFonts w:hint="eastAsia" w:ascii="仿宋_GB2312" w:hAnsi="仿宋" w:eastAsia="仿宋_GB2312" w:cs="仿宋"/>
          <w:bCs/>
          <w:color w:val="auto"/>
          <w:sz w:val="32"/>
          <w:szCs w:val="32"/>
          <w:lang w:val="en-US" w:eastAsia="zh-CN"/>
        </w:rPr>
        <w:t>以上</w:t>
      </w:r>
      <w:r>
        <w:rPr>
          <w:rStyle w:val="17"/>
          <w:rFonts w:hint="eastAsia" w:ascii="仿宋_GB2312" w:hAnsi="仿宋" w:eastAsia="仿宋_GB2312" w:cs="仿宋"/>
          <w:bCs/>
          <w:color w:val="auto"/>
          <w:sz w:val="32"/>
          <w:szCs w:val="32"/>
        </w:rPr>
        <w:t>。创建</w:t>
      </w:r>
      <w:r>
        <w:rPr>
          <w:rStyle w:val="17"/>
          <w:rFonts w:hint="eastAsia" w:ascii="仿宋_GB2312" w:hAnsi="仿宋" w:eastAsia="仿宋_GB2312" w:cs="仿宋"/>
          <w:bCs/>
          <w:color w:val="auto"/>
          <w:sz w:val="32"/>
          <w:szCs w:val="32"/>
          <w:lang w:val="en-US" w:eastAsia="zh-CN"/>
        </w:rPr>
        <w:t>1-2</w:t>
      </w:r>
      <w:r>
        <w:rPr>
          <w:rStyle w:val="17"/>
          <w:rFonts w:hint="eastAsia" w:ascii="仿宋_GB2312" w:hAnsi="仿宋" w:eastAsia="仿宋_GB2312" w:cs="仿宋"/>
          <w:bCs/>
          <w:color w:val="auto"/>
          <w:sz w:val="32"/>
          <w:szCs w:val="32"/>
        </w:rPr>
        <w:t>家创新创业孵化基地</w:t>
      </w:r>
      <w:r>
        <w:rPr>
          <w:rStyle w:val="17"/>
          <w:rFonts w:hint="eastAsia" w:ascii="仿宋_GB2312" w:hAnsi="仿宋" w:eastAsia="仿宋_GB2312" w:cs="仿宋"/>
          <w:bCs/>
          <w:color w:val="auto"/>
          <w:sz w:val="32"/>
          <w:szCs w:val="32"/>
          <w:lang w:val="en-US" w:eastAsia="zh-CN"/>
        </w:rPr>
        <w:t>、1个“南粤家政”基层家政服务</w:t>
      </w:r>
      <w:r>
        <w:rPr>
          <w:rStyle w:val="17"/>
          <w:rFonts w:hint="eastAsia" w:ascii="仿宋_GB2312" w:hAnsi="仿宋" w:eastAsia="仿宋_GB2312" w:cs="仿宋"/>
          <w:b w:val="0"/>
          <w:bCs/>
          <w:color w:val="auto"/>
          <w:sz w:val="32"/>
          <w:szCs w:val="32"/>
          <w:lang w:val="en-US" w:eastAsia="zh-CN"/>
        </w:rPr>
        <w:t>示范</w:t>
      </w:r>
      <w:r>
        <w:rPr>
          <w:rStyle w:val="17"/>
          <w:rFonts w:hint="eastAsia" w:ascii="仿宋_GB2312" w:hAnsi="仿宋" w:eastAsia="仿宋_GB2312" w:cs="仿宋"/>
          <w:bCs/>
          <w:color w:val="auto"/>
          <w:sz w:val="32"/>
          <w:szCs w:val="32"/>
          <w:lang w:val="en-US" w:eastAsia="zh-CN"/>
        </w:rPr>
        <w:t>站，</w:t>
      </w:r>
      <w:r>
        <w:rPr>
          <w:rStyle w:val="17"/>
          <w:rFonts w:hint="eastAsia" w:ascii="仿宋_GB2312" w:hAnsi="仿宋" w:eastAsia="仿宋_GB2312" w:cs="仿宋"/>
          <w:bCs/>
          <w:color w:val="auto"/>
          <w:sz w:val="32"/>
          <w:szCs w:val="32"/>
        </w:rPr>
        <w:t>建立和完善</w:t>
      </w:r>
      <w:r>
        <w:rPr>
          <w:rStyle w:val="17"/>
          <w:rFonts w:hint="eastAsia" w:ascii="仿宋_GB2312" w:hAnsi="仿宋" w:eastAsia="仿宋_GB2312" w:cs="仿宋"/>
          <w:bCs/>
          <w:color w:val="auto"/>
          <w:sz w:val="32"/>
          <w:szCs w:val="32"/>
          <w:lang w:eastAsia="zh-CN"/>
        </w:rPr>
        <w:t>城区</w:t>
      </w:r>
      <w:r>
        <w:rPr>
          <w:rStyle w:val="17"/>
          <w:rFonts w:hint="eastAsia" w:ascii="仿宋_GB2312" w:hAnsi="仿宋" w:eastAsia="仿宋_GB2312" w:cs="仿宋"/>
          <w:bCs/>
          <w:color w:val="auto"/>
          <w:sz w:val="32"/>
          <w:szCs w:val="32"/>
        </w:rPr>
        <w:t>人力资源市场，全方位公共就业创业服务体系逐步建成，就业社会化</w:t>
      </w:r>
      <w:r>
        <w:rPr>
          <w:rStyle w:val="17"/>
          <w:rFonts w:hint="eastAsia" w:ascii="仿宋_GB2312" w:eastAsia="仿宋_GB2312"/>
          <w:bCs/>
          <w:color w:val="auto"/>
          <w:sz w:val="32"/>
          <w:szCs w:val="32"/>
        </w:rPr>
        <w:t>、市场化水平更高。</w:t>
      </w:r>
    </w:p>
    <w:p>
      <w:pPr>
        <w:keepLines w:val="0"/>
        <w:pageBreakBefore w:val="0"/>
        <w:kinsoku/>
        <w:wordWrap/>
        <w:overflowPunct/>
        <w:topLinePunct w:val="0"/>
        <w:autoSpaceDE/>
        <w:autoSpaceDN/>
        <w:bidi w:val="0"/>
        <w:adjustRightInd w:val="0"/>
        <w:snapToGrid w:val="0"/>
        <w:spacing w:line="560" w:lineRule="exact"/>
        <w:ind w:firstLine="643" w:firstLineChars="200"/>
        <w:rPr>
          <w:rStyle w:val="17"/>
          <w:rFonts w:ascii="仿宋_GB2312" w:hAnsi="仿宋" w:eastAsia="仿宋_GB2312" w:cs="仿宋"/>
          <w:bCs/>
          <w:color w:val="auto"/>
          <w:sz w:val="32"/>
          <w:szCs w:val="32"/>
        </w:rPr>
      </w:pPr>
      <w:r>
        <w:rPr>
          <w:rStyle w:val="17"/>
          <w:rFonts w:hint="eastAsia" w:ascii="仿宋_GB2312" w:hAnsi="仿宋" w:eastAsia="仿宋_GB2312" w:cs="仿宋"/>
          <w:b/>
          <w:color w:val="auto"/>
          <w:sz w:val="32"/>
          <w:szCs w:val="32"/>
        </w:rPr>
        <w:t>——覆盖全民的社会保障体系更加完善。</w:t>
      </w:r>
      <w:r>
        <w:rPr>
          <w:rStyle w:val="17"/>
          <w:rFonts w:hint="eastAsia" w:hAnsi="仿宋" w:eastAsia="仿宋_GB2312" w:cs="仿宋"/>
          <w:color w:val="auto"/>
          <w:sz w:val="32"/>
          <w:szCs w:val="32"/>
        </w:rPr>
        <w:t>养老、失业、工伤保险实现应保尽保，参保缴费质量显著提高。社</w:t>
      </w:r>
      <w:r>
        <w:rPr>
          <w:rStyle w:val="17"/>
          <w:rFonts w:hint="eastAsia" w:hAnsi="仿宋" w:eastAsia="仿宋_GB2312" w:cs="仿宋"/>
          <w:bCs/>
          <w:color w:val="auto"/>
          <w:sz w:val="32"/>
          <w:szCs w:val="32"/>
        </w:rPr>
        <w:t>会保险制度改革</w:t>
      </w:r>
      <w:r>
        <w:rPr>
          <w:rStyle w:val="17"/>
          <w:rFonts w:hint="eastAsia" w:hAnsi="仿宋" w:eastAsia="仿宋_GB2312" w:cs="仿宋"/>
          <w:color w:val="auto"/>
          <w:sz w:val="32"/>
          <w:szCs w:val="32"/>
        </w:rPr>
        <w:t>全面推进</w:t>
      </w:r>
      <w:r>
        <w:rPr>
          <w:rStyle w:val="17"/>
          <w:rFonts w:hint="eastAsia" w:hAnsi="仿宋" w:eastAsia="仿宋_GB2312" w:cs="仿宋"/>
          <w:bCs/>
          <w:color w:val="auto"/>
          <w:sz w:val="32"/>
          <w:szCs w:val="32"/>
        </w:rPr>
        <w:t>，统筹层次不断提高，多层次的社会保障体系日益健全。社保待遇确定和调整机制更加健全，城乡、区域、群体间保障水平合理衔接。社会保险基金运行安全可持续。“十四五”期末，</w:t>
      </w:r>
      <w:r>
        <w:rPr>
          <w:rStyle w:val="17"/>
          <w:rFonts w:hint="eastAsia" w:ascii="仿宋_GB2312" w:hAnsi="仿宋" w:eastAsia="仿宋_GB2312" w:cs="仿宋"/>
          <w:bCs/>
          <w:color w:val="auto"/>
          <w:sz w:val="32"/>
          <w:szCs w:val="32"/>
        </w:rPr>
        <w:t>全</w:t>
      </w:r>
      <w:r>
        <w:rPr>
          <w:rStyle w:val="17"/>
          <w:rFonts w:hint="eastAsia" w:ascii="仿宋_GB2312" w:hAnsi="仿宋" w:eastAsia="仿宋_GB2312" w:cs="仿宋"/>
          <w:bCs/>
          <w:color w:val="auto"/>
          <w:sz w:val="32"/>
          <w:szCs w:val="32"/>
          <w:lang w:eastAsia="zh-CN"/>
        </w:rPr>
        <w:t>区</w:t>
      </w:r>
      <w:r>
        <w:rPr>
          <w:rStyle w:val="17"/>
          <w:rFonts w:hint="eastAsia" w:ascii="仿宋_GB2312" w:hAnsi="仿宋" w:eastAsia="仿宋_GB2312" w:cs="仿宋"/>
          <w:bCs/>
          <w:color w:val="auto"/>
          <w:sz w:val="32"/>
          <w:szCs w:val="32"/>
        </w:rPr>
        <w:t>城镇职工基本养老保险、城乡居民基本养老保险、失业保险、工伤保险参保人数分别达到</w:t>
      </w:r>
      <w:r>
        <w:rPr>
          <w:rStyle w:val="17"/>
          <w:rFonts w:hint="eastAsia" w:ascii="仿宋_GB2312" w:eastAsia="仿宋_GB2312" w:cs="仿宋"/>
          <w:color w:val="auto"/>
          <w:sz w:val="32"/>
          <w:szCs w:val="32"/>
          <w:lang w:val="en-US" w:eastAsia="zh-CN"/>
        </w:rPr>
        <w:t>3.23</w:t>
      </w:r>
      <w:r>
        <w:rPr>
          <w:rStyle w:val="17"/>
          <w:rFonts w:hint="eastAsia" w:ascii="仿宋_GB2312" w:eastAsia="仿宋_GB2312" w:cs="仿宋"/>
          <w:color w:val="auto"/>
          <w:sz w:val="32"/>
          <w:szCs w:val="32"/>
        </w:rPr>
        <w:t>万人、1</w:t>
      </w:r>
      <w:r>
        <w:rPr>
          <w:rStyle w:val="17"/>
          <w:rFonts w:hint="eastAsia" w:ascii="仿宋_GB2312" w:eastAsia="仿宋_GB2312" w:cs="仿宋"/>
          <w:color w:val="auto"/>
          <w:sz w:val="32"/>
          <w:szCs w:val="32"/>
          <w:lang w:val="en-US" w:eastAsia="zh-CN"/>
        </w:rPr>
        <w:t>1</w:t>
      </w:r>
      <w:r>
        <w:rPr>
          <w:rStyle w:val="17"/>
          <w:rFonts w:hint="eastAsia" w:ascii="仿宋_GB2312" w:eastAsia="仿宋_GB2312" w:cs="仿宋"/>
          <w:color w:val="auto"/>
          <w:sz w:val="32"/>
          <w:szCs w:val="32"/>
        </w:rPr>
        <w:t>万人、</w:t>
      </w:r>
      <w:r>
        <w:rPr>
          <w:rStyle w:val="17"/>
          <w:rFonts w:hint="eastAsia" w:ascii="仿宋_GB2312" w:eastAsia="仿宋_GB2312" w:cs="仿宋"/>
          <w:color w:val="auto"/>
          <w:sz w:val="32"/>
          <w:szCs w:val="32"/>
          <w:lang w:val="en-US" w:eastAsia="zh-CN"/>
        </w:rPr>
        <w:t>0</w:t>
      </w:r>
      <w:r>
        <w:rPr>
          <w:rStyle w:val="17"/>
          <w:rFonts w:hint="eastAsia" w:ascii="仿宋_GB2312" w:eastAsia="仿宋_GB2312" w:cs="仿宋"/>
          <w:color w:val="auto"/>
          <w:sz w:val="32"/>
          <w:szCs w:val="32"/>
        </w:rPr>
        <w:t>.</w:t>
      </w:r>
      <w:r>
        <w:rPr>
          <w:rStyle w:val="17"/>
          <w:rFonts w:hint="eastAsia" w:ascii="仿宋_GB2312" w:eastAsia="仿宋_GB2312" w:cs="仿宋"/>
          <w:color w:val="auto"/>
          <w:sz w:val="32"/>
          <w:szCs w:val="32"/>
          <w:lang w:val="en-US" w:eastAsia="zh-CN"/>
        </w:rPr>
        <w:t>94</w:t>
      </w:r>
      <w:r>
        <w:rPr>
          <w:rStyle w:val="17"/>
          <w:rFonts w:hint="eastAsia" w:ascii="仿宋_GB2312" w:eastAsia="仿宋_GB2312" w:cs="仿宋"/>
          <w:color w:val="auto"/>
          <w:sz w:val="32"/>
          <w:szCs w:val="32"/>
        </w:rPr>
        <w:t>万人、1.</w:t>
      </w:r>
      <w:r>
        <w:rPr>
          <w:rStyle w:val="17"/>
          <w:rFonts w:hint="eastAsia" w:ascii="仿宋_GB2312" w:eastAsia="仿宋_GB2312" w:cs="仿宋"/>
          <w:color w:val="auto"/>
          <w:sz w:val="32"/>
          <w:szCs w:val="32"/>
          <w:lang w:val="en-US" w:eastAsia="zh-CN"/>
        </w:rPr>
        <w:t>56</w:t>
      </w:r>
      <w:r>
        <w:rPr>
          <w:rStyle w:val="17"/>
          <w:rFonts w:hint="eastAsia" w:ascii="仿宋_GB2312" w:eastAsia="仿宋_GB2312" w:cs="仿宋"/>
          <w:color w:val="auto"/>
          <w:sz w:val="32"/>
          <w:szCs w:val="32"/>
        </w:rPr>
        <w:t>万人</w:t>
      </w:r>
      <w:r>
        <w:rPr>
          <w:rStyle w:val="17"/>
          <w:rFonts w:hint="eastAsia" w:ascii="仿宋_GB2312" w:hAnsi="仿宋" w:eastAsia="仿宋_GB2312" w:cs="仿宋"/>
          <w:bCs/>
          <w:color w:val="auto"/>
          <w:sz w:val="32"/>
          <w:szCs w:val="32"/>
        </w:rPr>
        <w:t>。</w:t>
      </w:r>
    </w:p>
    <w:p>
      <w:pPr>
        <w:keepLines w:val="0"/>
        <w:pageBreakBefore w:val="0"/>
        <w:kinsoku/>
        <w:wordWrap/>
        <w:overflowPunct/>
        <w:topLinePunct w:val="0"/>
        <w:autoSpaceDE/>
        <w:autoSpaceDN/>
        <w:bidi w:val="0"/>
        <w:adjustRightInd w:val="0"/>
        <w:snapToGrid w:val="0"/>
        <w:spacing w:line="560" w:lineRule="exact"/>
        <w:ind w:firstLine="643" w:firstLineChars="200"/>
        <w:rPr>
          <w:rStyle w:val="17"/>
          <w:rFonts w:hint="default" w:ascii="仿宋_GB2312" w:hAnsi="仿宋" w:eastAsia="仿宋_GB2312" w:cs="仿宋"/>
          <w:bCs/>
          <w:color w:val="auto"/>
          <w:sz w:val="32"/>
          <w:szCs w:val="32"/>
          <w:lang w:val="en-US" w:eastAsia="zh-CN"/>
        </w:rPr>
      </w:pPr>
      <w:r>
        <w:rPr>
          <w:rStyle w:val="17"/>
          <w:rFonts w:hint="eastAsia" w:ascii="仿宋_GB2312" w:hAnsi="仿宋" w:eastAsia="仿宋_GB2312" w:cs="仿宋"/>
          <w:b/>
          <w:sz w:val="32"/>
          <w:szCs w:val="32"/>
        </w:rPr>
        <w:t>——高水平人才集聚能力显著提升。</w:t>
      </w:r>
      <w:r>
        <w:rPr>
          <w:rStyle w:val="17"/>
          <w:rFonts w:hint="eastAsia" w:ascii="仿宋_GB2312" w:hAnsi="仿宋" w:eastAsia="仿宋_GB2312" w:cs="仿宋"/>
          <w:bCs/>
          <w:sz w:val="32"/>
          <w:szCs w:val="32"/>
        </w:rPr>
        <w:t>适应新时代全</w:t>
      </w:r>
      <w:r>
        <w:rPr>
          <w:rStyle w:val="17"/>
          <w:rFonts w:hint="eastAsia" w:ascii="仿宋_GB2312" w:hAnsi="仿宋" w:eastAsia="仿宋_GB2312" w:cs="仿宋"/>
          <w:bCs/>
          <w:sz w:val="32"/>
          <w:szCs w:val="32"/>
          <w:lang w:eastAsia="zh-CN"/>
        </w:rPr>
        <w:t>区</w:t>
      </w:r>
      <w:r>
        <w:rPr>
          <w:rStyle w:val="17"/>
          <w:rFonts w:hint="eastAsia" w:ascii="仿宋_GB2312" w:hAnsi="仿宋" w:eastAsia="仿宋_GB2312" w:cs="仿宋"/>
          <w:bCs/>
          <w:sz w:val="32"/>
          <w:szCs w:val="32"/>
        </w:rPr>
        <w:t>经济社会发展，进一步深化人才体制机制改革，做大做强专业技术人才队伍和技能人才队伍，推动全</w:t>
      </w:r>
      <w:r>
        <w:rPr>
          <w:rStyle w:val="17"/>
          <w:rFonts w:hint="eastAsia" w:ascii="仿宋_GB2312" w:hAnsi="仿宋" w:eastAsia="仿宋_GB2312" w:cs="仿宋"/>
          <w:bCs/>
          <w:sz w:val="32"/>
          <w:szCs w:val="32"/>
          <w:lang w:eastAsia="zh-CN"/>
        </w:rPr>
        <w:t>区</w:t>
      </w:r>
      <w:r>
        <w:rPr>
          <w:rStyle w:val="17"/>
          <w:rFonts w:hint="eastAsia" w:ascii="仿宋_GB2312" w:hAnsi="仿宋" w:eastAsia="仿宋_GB2312" w:cs="仿宋"/>
          <w:bCs/>
          <w:sz w:val="32"/>
          <w:szCs w:val="32"/>
        </w:rPr>
        <w:t>人才梯队结构更加优良。建立完善人才配套政策，优化人才引进机制，完善人才流动支持机制和高层次人才选拔机制，加大高层次人才引进力度</w:t>
      </w:r>
      <w:r>
        <w:rPr>
          <w:rStyle w:val="17"/>
          <w:rFonts w:hint="eastAsia" w:ascii="仿宋_GB2312" w:hAnsi="仿宋" w:eastAsia="仿宋_GB2312" w:cs="仿宋"/>
          <w:bCs/>
          <w:sz w:val="32"/>
          <w:szCs w:val="32"/>
          <w:lang w:eastAsia="zh-CN"/>
        </w:rPr>
        <w:t>和</w:t>
      </w:r>
      <w:r>
        <w:rPr>
          <w:rStyle w:val="17"/>
          <w:rFonts w:hint="eastAsia" w:ascii="仿宋_GB2312" w:hAnsi="仿宋" w:eastAsia="仿宋_GB2312" w:cs="仿宋"/>
          <w:bCs/>
          <w:sz w:val="32"/>
          <w:szCs w:val="32"/>
        </w:rPr>
        <w:t>培养力度。</w:t>
      </w:r>
      <w:r>
        <w:rPr>
          <w:rStyle w:val="17"/>
          <w:rFonts w:hint="eastAsia" w:ascii="仿宋_GB2312" w:hAnsi="仿宋" w:eastAsia="仿宋_GB2312" w:cs="仿宋"/>
          <w:bCs/>
          <w:color w:val="auto"/>
          <w:sz w:val="32"/>
          <w:szCs w:val="32"/>
        </w:rPr>
        <w:t xml:space="preserve"> 推进高层次人才服务专区建设，夯实人才创新创业平台载体，健全高层次人才“一站式”服务平台，</w:t>
      </w:r>
      <w:r>
        <w:rPr>
          <w:rStyle w:val="17"/>
          <w:rFonts w:hint="eastAsia" w:ascii="仿宋_GB2312" w:hAnsi="仿宋" w:eastAsia="仿宋_GB2312" w:cs="仿宋"/>
          <w:bCs/>
          <w:sz w:val="32"/>
          <w:szCs w:val="32"/>
        </w:rPr>
        <w:t>进一步完善人才公共服务体系，</w:t>
      </w:r>
      <w:r>
        <w:rPr>
          <w:rStyle w:val="17"/>
          <w:rFonts w:hint="eastAsia" w:ascii="仿宋_GB2312" w:eastAsia="仿宋_GB2312" w:cs="仿宋"/>
          <w:sz w:val="32"/>
          <w:szCs w:val="32"/>
        </w:rPr>
        <w:t>持续优化</w:t>
      </w:r>
      <w:r>
        <w:rPr>
          <w:rStyle w:val="17"/>
          <w:rFonts w:hint="eastAsia" w:ascii="仿宋_GB2312" w:hAnsi="仿宋" w:eastAsia="仿宋_GB2312" w:cs="仿宋"/>
          <w:bCs/>
          <w:sz w:val="32"/>
          <w:szCs w:val="32"/>
        </w:rPr>
        <w:t xml:space="preserve">人才发展环境。“十四五”期末，全区专业技术人才总量达 </w:t>
      </w:r>
      <w:r>
        <w:rPr>
          <w:rStyle w:val="17"/>
          <w:rFonts w:hint="eastAsia" w:ascii="仿宋_GB2312" w:hAnsi="仿宋" w:eastAsia="仿宋_GB2312" w:cs="仿宋"/>
          <w:bCs/>
          <w:sz w:val="32"/>
          <w:szCs w:val="32"/>
          <w:lang w:val="en-US" w:eastAsia="zh-CN"/>
        </w:rPr>
        <w:t>5</w:t>
      </w:r>
      <w:r>
        <w:rPr>
          <w:rStyle w:val="17"/>
          <w:rFonts w:hint="eastAsia" w:ascii="仿宋_GB2312" w:hAnsi="仿宋" w:eastAsia="仿宋_GB2312" w:cs="仿宋"/>
          <w:bCs/>
          <w:sz w:val="32"/>
          <w:szCs w:val="32"/>
        </w:rPr>
        <w:t>150人。</w:t>
      </w:r>
      <w:r>
        <w:rPr>
          <w:rStyle w:val="17"/>
          <w:rFonts w:hint="eastAsia" w:ascii="仿宋_GB2312" w:hAnsi="仿宋" w:eastAsia="仿宋_GB2312" w:cs="仿宋"/>
          <w:bCs/>
          <w:color w:val="auto"/>
          <w:sz w:val="32"/>
          <w:szCs w:val="32"/>
        </w:rPr>
        <w:t xml:space="preserve">技能人才达 </w:t>
      </w:r>
      <w:r>
        <w:rPr>
          <w:rStyle w:val="17"/>
          <w:rFonts w:hint="eastAsia" w:ascii="仿宋_GB2312" w:hAnsi="仿宋" w:eastAsia="仿宋_GB2312" w:cs="仿宋"/>
          <w:bCs/>
          <w:color w:val="auto"/>
          <w:sz w:val="32"/>
          <w:szCs w:val="32"/>
          <w:lang w:val="en-US" w:eastAsia="zh-CN"/>
        </w:rPr>
        <w:t>11</w:t>
      </w:r>
      <w:r>
        <w:rPr>
          <w:rStyle w:val="17"/>
          <w:rFonts w:hint="eastAsia" w:ascii="仿宋_GB2312" w:hAnsi="仿宋" w:eastAsia="仿宋_GB2312" w:cs="仿宋"/>
          <w:bCs/>
          <w:color w:val="auto"/>
          <w:sz w:val="32"/>
          <w:szCs w:val="32"/>
        </w:rPr>
        <w:t>000人，其中高技能人才达到</w:t>
      </w:r>
      <w:r>
        <w:rPr>
          <w:rStyle w:val="17"/>
          <w:rFonts w:hint="eastAsia" w:ascii="仿宋_GB2312" w:hAnsi="仿宋" w:eastAsia="仿宋_GB2312" w:cs="仿宋"/>
          <w:bCs/>
          <w:color w:val="auto"/>
          <w:sz w:val="32"/>
          <w:szCs w:val="32"/>
          <w:lang w:val="en-US" w:eastAsia="zh-CN"/>
        </w:rPr>
        <w:t>1650</w:t>
      </w:r>
      <w:r>
        <w:rPr>
          <w:rStyle w:val="17"/>
          <w:rFonts w:hint="eastAsia" w:ascii="仿宋_GB2312" w:hAnsi="仿宋" w:eastAsia="仿宋_GB2312" w:cs="仿宋"/>
          <w:bCs/>
          <w:color w:val="auto"/>
          <w:sz w:val="32"/>
          <w:szCs w:val="32"/>
        </w:rPr>
        <w:t>人，占技能人才</w:t>
      </w:r>
      <w:r>
        <w:rPr>
          <w:rStyle w:val="17"/>
          <w:rFonts w:hint="eastAsia" w:ascii="仿宋_GB2312" w:hAnsi="仿宋" w:eastAsia="仿宋_GB2312" w:cs="仿宋"/>
          <w:bCs/>
          <w:color w:val="auto"/>
          <w:sz w:val="32"/>
          <w:szCs w:val="32"/>
          <w:lang w:val="en-US" w:eastAsia="zh-CN"/>
        </w:rPr>
        <w:t>1</w:t>
      </w:r>
      <w:r>
        <w:rPr>
          <w:rStyle w:val="17"/>
          <w:rFonts w:hint="eastAsia" w:ascii="仿宋_GB2312" w:hAnsi="仿宋" w:eastAsia="仿宋_GB2312" w:cs="仿宋"/>
          <w:bCs/>
          <w:color w:val="auto"/>
          <w:sz w:val="32"/>
          <w:szCs w:val="32"/>
        </w:rPr>
        <w:t>5%以上。</w:t>
      </w:r>
      <w:r>
        <w:rPr>
          <w:rStyle w:val="17"/>
          <w:rFonts w:hint="eastAsia" w:ascii="仿宋_GB2312" w:hAnsi="仿宋" w:eastAsia="仿宋_GB2312" w:cs="仿宋"/>
          <w:bCs/>
          <w:color w:val="auto"/>
          <w:sz w:val="32"/>
          <w:szCs w:val="32"/>
          <w:lang w:eastAsia="zh-CN"/>
        </w:rPr>
        <w:t>新建博士工作站</w:t>
      </w:r>
      <w:r>
        <w:rPr>
          <w:rStyle w:val="17"/>
          <w:rFonts w:hint="eastAsia" w:ascii="仿宋_GB2312" w:hAnsi="仿宋" w:eastAsia="仿宋_GB2312" w:cs="仿宋"/>
          <w:bCs/>
          <w:color w:val="auto"/>
          <w:sz w:val="32"/>
          <w:szCs w:val="32"/>
          <w:lang w:val="en-US" w:eastAsia="zh-CN"/>
        </w:rPr>
        <w:t>1家以上。</w:t>
      </w:r>
    </w:p>
    <w:p>
      <w:pPr>
        <w:keepLines w:val="0"/>
        <w:pageBreakBefore w:val="0"/>
        <w:kinsoku/>
        <w:wordWrap/>
        <w:overflowPunct/>
        <w:topLinePunct w:val="0"/>
        <w:autoSpaceDE/>
        <w:autoSpaceDN/>
        <w:bidi w:val="0"/>
        <w:adjustRightInd w:val="0"/>
        <w:snapToGrid w:val="0"/>
        <w:spacing w:line="560" w:lineRule="exact"/>
        <w:ind w:firstLine="643" w:firstLineChars="200"/>
        <w:rPr>
          <w:rStyle w:val="17"/>
          <w:rFonts w:ascii="仿宋_GB2312" w:eastAsia="仿宋_GB2312" w:cs="仿宋"/>
          <w:bCs/>
          <w:color w:val="auto"/>
          <w:sz w:val="32"/>
          <w:szCs w:val="32"/>
        </w:rPr>
      </w:pPr>
      <w:r>
        <w:rPr>
          <w:rStyle w:val="17"/>
          <w:rFonts w:hint="eastAsia" w:ascii="仿宋_GB2312" w:hAnsi="仿宋" w:eastAsia="仿宋_GB2312" w:cs="仿宋"/>
          <w:b/>
          <w:sz w:val="32"/>
          <w:szCs w:val="32"/>
        </w:rPr>
        <w:t>——事业单位人事管理体制机制更加科学高效、规范有序。</w:t>
      </w:r>
      <w:r>
        <w:rPr>
          <w:rStyle w:val="17"/>
          <w:rFonts w:hint="eastAsia" w:ascii="仿宋_GB2312" w:eastAsia="仿宋_GB2312" w:cs="仿宋"/>
          <w:bCs/>
          <w:color w:val="auto"/>
          <w:sz w:val="32"/>
          <w:szCs w:val="32"/>
        </w:rPr>
        <w:t>突出加强党的全面领导、强化公益属性，加快建立政事分开、事企分开、管办分离的事业单位人事管理体制机制，用人机制更加灵活高效，激励机制更加科学有效，人才流动更加合理有序，促进形成广纳英才、人尽其才、才尽其用、充满活力的事业单位人事管理制度。</w:t>
      </w:r>
    </w:p>
    <w:p>
      <w:pPr>
        <w:keepLines w:val="0"/>
        <w:pageBreakBefore w:val="0"/>
        <w:kinsoku/>
        <w:wordWrap/>
        <w:overflowPunct/>
        <w:topLinePunct w:val="0"/>
        <w:autoSpaceDE/>
        <w:autoSpaceDN/>
        <w:bidi w:val="0"/>
        <w:adjustRightInd w:val="0"/>
        <w:snapToGrid w:val="0"/>
        <w:spacing w:line="560" w:lineRule="exact"/>
        <w:ind w:firstLine="643" w:firstLineChars="200"/>
        <w:rPr>
          <w:rStyle w:val="17"/>
          <w:rFonts w:ascii="仿宋_GB2312" w:eastAsia="仿宋_GB2312" w:cs="仿宋"/>
          <w:bCs/>
          <w:sz w:val="32"/>
          <w:szCs w:val="32"/>
        </w:rPr>
      </w:pPr>
      <w:r>
        <w:rPr>
          <w:rStyle w:val="17"/>
          <w:rFonts w:hint="eastAsia" w:ascii="仿宋_GB2312" w:hAnsi="仿宋" w:eastAsia="仿宋_GB2312" w:cs="仿宋"/>
          <w:b/>
          <w:sz w:val="32"/>
          <w:szCs w:val="32"/>
        </w:rPr>
        <w:t>——劳动关系更加和谐稳定。</w:t>
      </w:r>
      <w:r>
        <w:rPr>
          <w:rStyle w:val="17"/>
          <w:rFonts w:hint="eastAsia" w:ascii="仿宋_GB2312" w:hAnsi="仿宋" w:eastAsia="仿宋_GB2312" w:cs="仿宋"/>
          <w:sz w:val="32"/>
          <w:szCs w:val="32"/>
        </w:rPr>
        <w:t>工资收入分配秩序更加规范，劳动关系协调机制和矛盾调处机制更加健全，劳动人事争议调解仲裁体制机制更加完善，劳动保障监察治理效能不断提升，劳资纠纷风险得到有效控制，</w:t>
      </w:r>
      <w:r>
        <w:rPr>
          <w:rStyle w:val="17"/>
          <w:rFonts w:hint="eastAsia" w:ascii="仿宋_GB2312" w:hAnsi="仿宋" w:eastAsia="仿宋_GB2312" w:cs="仿宋"/>
          <w:bCs/>
          <w:sz w:val="32"/>
          <w:szCs w:val="32"/>
        </w:rPr>
        <w:t>形成劳动者体面劳动、全面发展良好局面。</w:t>
      </w:r>
      <w:r>
        <w:rPr>
          <w:rStyle w:val="17"/>
          <w:rFonts w:hint="eastAsia" w:ascii="仿宋_GB2312" w:hAnsi="仿宋" w:eastAsia="仿宋_GB2312" w:cs="仿宋"/>
          <w:sz w:val="32"/>
          <w:szCs w:val="32"/>
        </w:rPr>
        <w:t>“十四五”期末，</w:t>
      </w:r>
      <w:r>
        <w:rPr>
          <w:rStyle w:val="17"/>
          <w:rFonts w:hint="eastAsia" w:ascii="仿宋_GB2312" w:eastAsia="仿宋_GB2312" w:cs="仿宋"/>
          <w:sz w:val="32"/>
          <w:szCs w:val="32"/>
        </w:rPr>
        <w:t>劳动人事争议调解成功率达到</w:t>
      </w:r>
      <w:r>
        <w:rPr>
          <w:rStyle w:val="17"/>
          <w:rFonts w:hint="eastAsia" w:ascii="仿宋_GB2312" w:eastAsia="仿宋_GB2312" w:cs="仿宋"/>
          <w:sz w:val="32"/>
          <w:szCs w:val="32"/>
          <w:lang w:val="en-US" w:eastAsia="zh-CN"/>
        </w:rPr>
        <w:t>60</w:t>
      </w:r>
      <w:r>
        <w:rPr>
          <w:rStyle w:val="17"/>
          <w:rFonts w:hint="eastAsia" w:ascii="仿宋_GB2312" w:eastAsia="仿宋_GB2312" w:cs="仿宋"/>
          <w:sz w:val="32"/>
          <w:szCs w:val="32"/>
        </w:rPr>
        <w:t>%以上，劳动人事争议仲裁结案率达到9</w:t>
      </w:r>
      <w:r>
        <w:rPr>
          <w:rStyle w:val="17"/>
          <w:rFonts w:hint="eastAsia" w:ascii="仿宋_GB2312" w:eastAsia="仿宋_GB2312" w:cs="仿宋"/>
          <w:sz w:val="32"/>
          <w:szCs w:val="32"/>
          <w:lang w:val="en-US" w:eastAsia="zh-CN"/>
        </w:rPr>
        <w:t>0</w:t>
      </w:r>
      <w:r>
        <w:rPr>
          <w:rStyle w:val="17"/>
          <w:rFonts w:hint="eastAsia" w:ascii="仿宋_GB2312" w:eastAsia="仿宋_GB2312" w:cs="仿宋"/>
          <w:sz w:val="32"/>
          <w:szCs w:val="32"/>
        </w:rPr>
        <w:t>%以上，劳动保障监察举报投诉案件结案率达到96%以上</w:t>
      </w:r>
      <w:r>
        <w:rPr>
          <w:rStyle w:val="17"/>
          <w:rFonts w:hint="eastAsia" w:ascii="仿宋_GB2312" w:hAnsi="仿宋" w:eastAsia="仿宋_GB2312" w:cs="仿宋"/>
          <w:sz w:val="32"/>
          <w:szCs w:val="32"/>
        </w:rPr>
        <w:t>。</w:t>
      </w:r>
    </w:p>
    <w:p>
      <w:pPr>
        <w:keepLines w:val="0"/>
        <w:pageBreakBefore w:val="0"/>
        <w:kinsoku/>
        <w:wordWrap/>
        <w:overflowPunct/>
        <w:topLinePunct w:val="0"/>
        <w:autoSpaceDE/>
        <w:autoSpaceDN/>
        <w:bidi w:val="0"/>
        <w:adjustRightInd w:val="0"/>
        <w:snapToGrid w:val="0"/>
        <w:spacing w:line="560" w:lineRule="exact"/>
        <w:ind w:firstLine="643" w:firstLineChars="200"/>
        <w:rPr>
          <w:rStyle w:val="17"/>
          <w:rFonts w:hint="eastAsia" w:ascii="仿宋_GB2312" w:hAnsi="仿宋" w:eastAsia="仿宋_GB2312" w:cs="仿宋"/>
          <w:color w:val="auto"/>
          <w:sz w:val="32"/>
          <w:szCs w:val="32"/>
        </w:rPr>
      </w:pPr>
      <w:r>
        <w:rPr>
          <w:rStyle w:val="17"/>
          <w:rFonts w:hint="eastAsia" w:ascii="仿宋_GB2312" w:hAnsi="仿宋" w:eastAsia="仿宋_GB2312" w:cs="仿宋"/>
          <w:b/>
          <w:bCs/>
          <w:sz w:val="32"/>
          <w:szCs w:val="32"/>
        </w:rPr>
        <w:t>——公共服务能力明显提升。</w:t>
      </w:r>
      <w:r>
        <w:rPr>
          <w:rStyle w:val="17"/>
          <w:rFonts w:hint="eastAsia" w:ascii="仿宋_GB2312" w:hAnsi="仿宋" w:eastAsia="仿宋_GB2312" w:cs="仿宋"/>
          <w:color w:val="auto"/>
          <w:sz w:val="32"/>
          <w:szCs w:val="32"/>
        </w:rPr>
        <w:t>推进人力资源服务平台建设。建成区级人力资源服务产业园1个，区级</w:t>
      </w:r>
      <w:r>
        <w:rPr>
          <w:rStyle w:val="17"/>
          <w:rFonts w:hint="eastAsia" w:ascii="仿宋_GB2312" w:hAnsi="仿宋" w:eastAsia="仿宋_GB2312" w:cs="仿宋"/>
          <w:color w:val="auto"/>
          <w:sz w:val="32"/>
          <w:szCs w:val="32"/>
          <w:lang w:eastAsia="zh-CN"/>
        </w:rPr>
        <w:t>以上</w:t>
      </w:r>
      <w:r>
        <w:rPr>
          <w:rStyle w:val="17"/>
          <w:rFonts w:hint="eastAsia" w:ascii="仿宋_GB2312" w:hAnsi="仿宋" w:eastAsia="仿宋_GB2312" w:cs="仿宋"/>
          <w:color w:val="auto"/>
          <w:sz w:val="32"/>
          <w:szCs w:val="32"/>
        </w:rPr>
        <w:t>家政服务培训示范基地1个；建立</w:t>
      </w:r>
      <w:r>
        <w:rPr>
          <w:rStyle w:val="17"/>
          <w:rFonts w:hint="eastAsia" w:ascii="仿宋_GB2312" w:hAnsi="仿宋" w:eastAsia="仿宋_GB2312" w:cs="仿宋"/>
          <w:color w:val="auto"/>
          <w:sz w:val="32"/>
          <w:szCs w:val="32"/>
          <w:lang w:val="en-US" w:eastAsia="zh-CN"/>
        </w:rPr>
        <w:t>1-</w:t>
      </w:r>
      <w:r>
        <w:rPr>
          <w:rStyle w:val="17"/>
          <w:rFonts w:hint="eastAsia" w:ascii="仿宋_GB2312" w:hAnsi="仿宋" w:eastAsia="仿宋_GB2312" w:cs="仿宋"/>
          <w:color w:val="auto"/>
          <w:sz w:val="32"/>
          <w:szCs w:val="32"/>
        </w:rPr>
        <w:t>2家创新创业孵化基地，建成汕尾市城区港澳青年创新创业基地；建成“粤菜师傅美食一条街”，打造“粤菜师傅”培养示范基地、产业促进平台、工程交流合作平台和综合服务平台为一体的“粤菜师傅一基地三平台”。打造一流人社政务服务环境，人社基本公共服务标准化、信息化、便利化取得重要进展，群众满意度不断提升。社会保障卡“一卡通”广泛应用。全区社会保障卡常住人口持卡率达到</w:t>
      </w:r>
      <w:r>
        <w:rPr>
          <w:rStyle w:val="17"/>
          <w:rFonts w:hint="eastAsia" w:ascii="仿宋_GB2312" w:hAnsi="仿宋" w:eastAsia="仿宋_GB2312" w:cs="仿宋"/>
          <w:color w:val="auto"/>
          <w:sz w:val="32"/>
          <w:szCs w:val="32"/>
          <w:lang w:val="en-US" w:eastAsia="zh-CN"/>
        </w:rPr>
        <w:t>98</w:t>
      </w:r>
      <w:r>
        <w:rPr>
          <w:rStyle w:val="17"/>
          <w:rFonts w:hint="eastAsia" w:ascii="仿宋_GB2312" w:hAnsi="仿宋" w:eastAsia="仿宋_GB2312" w:cs="仿宋"/>
          <w:color w:val="auto"/>
          <w:sz w:val="32"/>
          <w:szCs w:val="32"/>
        </w:rPr>
        <w:t>%，申领电子社保卡人口覆盖率达到</w:t>
      </w:r>
      <w:r>
        <w:rPr>
          <w:rStyle w:val="17"/>
          <w:rFonts w:hint="eastAsia" w:ascii="仿宋_GB2312" w:hAnsi="仿宋" w:eastAsia="仿宋_GB2312" w:cs="仿宋"/>
          <w:color w:val="auto"/>
          <w:sz w:val="32"/>
          <w:szCs w:val="32"/>
          <w:lang w:val="en-US" w:eastAsia="zh-CN"/>
        </w:rPr>
        <w:t>75</w:t>
      </w:r>
      <w:r>
        <w:rPr>
          <w:rStyle w:val="17"/>
          <w:rFonts w:hint="eastAsia" w:ascii="仿宋_GB2312" w:hAnsi="仿宋" w:eastAsia="仿宋_GB2312" w:cs="仿宋"/>
          <w:color w:val="auto"/>
          <w:sz w:val="32"/>
          <w:szCs w:val="32"/>
        </w:rPr>
        <w:t>%。</w:t>
      </w:r>
    </w:p>
    <w:p>
      <w:pPr>
        <w:pStyle w:val="2"/>
        <w:rPr>
          <w:rStyle w:val="17"/>
          <w:rFonts w:hint="eastAsia" w:ascii="仿宋_GB2312" w:hAnsi="仿宋" w:eastAsia="仿宋_GB2312" w:cs="仿宋"/>
          <w:color w:val="auto"/>
          <w:sz w:val="32"/>
          <w:szCs w:val="32"/>
        </w:rPr>
      </w:pPr>
    </w:p>
    <w:p>
      <w:pPr>
        <w:rPr>
          <w:rFonts w:hint="eastAsia"/>
        </w:rPr>
      </w:pPr>
    </w:p>
    <w:tbl>
      <w:tblPr>
        <w:tblStyle w:val="14"/>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526"/>
        <w:gridCol w:w="878"/>
        <w:gridCol w:w="1393"/>
        <w:gridCol w:w="1479"/>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trPr>
        <w:tc>
          <w:tcPr>
            <w:tcW w:w="9088" w:type="dxa"/>
            <w:gridSpan w:val="6"/>
            <w:tcBorders>
              <w:bottom w:val="single" w:color="auto" w:sz="4" w:space="0"/>
            </w:tcBorders>
            <w:shd w:val="clear" w:color="auto" w:fill="DBE5F1"/>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专栏2  汕尾市</w:t>
            </w:r>
            <w:r>
              <w:rPr>
                <w:rFonts w:hint="eastAsia" w:ascii="Times New Roman" w:hAnsi="Times New Roman" w:eastAsia="宋体"/>
                <w:szCs w:val="21"/>
                <w:lang w:eastAsia="zh-CN"/>
              </w:rPr>
              <w:t>城区</w:t>
            </w:r>
            <w:r>
              <w:rPr>
                <w:rFonts w:hint="eastAsia" w:ascii="Times New Roman" w:hAnsi="Times New Roman" w:eastAsia="宋体"/>
                <w:szCs w:val="21"/>
              </w:rPr>
              <w:t>人社“十四五”时期主要指标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序号</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指标</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单位</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2020年基数</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2025年目标</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088" w:type="dxa"/>
            <w:gridSpan w:val="6"/>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一、就业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1</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城镇新增就业人数</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万人</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 xml:space="preserve">[ 3.02 </w:t>
            </w:r>
            <w:r>
              <w:rPr>
                <w:rFonts w:hint="eastAsia" w:ascii="Times New Roman" w:hAnsi="Times New Roman" w:eastAsia="宋体"/>
                <w:szCs w:val="21"/>
              </w:rPr>
              <w:t>]</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lang w:val="en-US" w:eastAsia="zh-CN"/>
              </w:rPr>
              <w:t>[2.5</w:t>
            </w:r>
            <w:r>
              <w:rPr>
                <w:rFonts w:hint="eastAsia" w:ascii="Times New Roman" w:hAnsi="Times New Roman" w:eastAsia="宋体"/>
                <w:szCs w:val="21"/>
              </w:rPr>
              <w:t>]</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2</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城镇登记失业率</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2.33</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rPr>
              <w:t>3</w:t>
            </w:r>
            <w:r>
              <w:rPr>
                <w:rFonts w:hint="eastAsia" w:ascii="Times New Roman" w:hAnsi="Times New Roman" w:eastAsia="宋体"/>
                <w:szCs w:val="21"/>
                <w:lang w:val="en-US" w:eastAsia="zh-CN"/>
              </w:rPr>
              <w:t>.0</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088" w:type="dxa"/>
            <w:gridSpan w:val="6"/>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二、社会保险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3</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基本养老保险参保率</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91</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95</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4</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城镇职工基本养老保险参保人数</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万人</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2.88</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3.23</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5</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城乡居民基本养老保险参保人数</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万人</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10</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11</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6</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失业保险参保人数</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万人</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0.76</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0.94</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7</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工伤保险参保人数</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万人</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1.26</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1.56</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088" w:type="dxa"/>
            <w:gridSpan w:val="6"/>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lang w:eastAsia="zh-CN"/>
              </w:rPr>
            </w:pPr>
            <w:r>
              <w:rPr>
                <w:rFonts w:hint="eastAsia" w:ascii="Times New Roman" w:hAnsi="Times New Roman" w:eastAsia="宋体"/>
                <w:szCs w:val="21"/>
                <w:lang w:eastAsia="zh-CN"/>
              </w:rPr>
              <w:t>三、人才队伍建设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8</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专业技术人才总量</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万人</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0.47</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0.52</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9</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其中：高级职称人才数量</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万人</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0.04</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0.06</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10</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新增取得专业技术人员职业资格证书人数</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人</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0.01</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0.01</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lang w:eastAsia="zh-CN"/>
              </w:rPr>
            </w:pPr>
            <w:r>
              <w:rPr>
                <w:rFonts w:hint="eastAsia" w:ascii="Times New Roman" w:hAnsi="Times New Roman" w:eastAsia="宋体"/>
                <w:szCs w:val="21"/>
              </w:rPr>
              <w:t>1</w:t>
            </w:r>
            <w:r>
              <w:rPr>
                <w:rFonts w:hint="eastAsia" w:ascii="Times New Roman" w:hAnsi="Times New Roman" w:eastAsia="宋体"/>
                <w:szCs w:val="21"/>
                <w:lang w:val="en-US" w:eastAsia="zh-CN"/>
              </w:rPr>
              <w:t>1</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技能人才总量</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万人</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0.2</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1.1</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12</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高技能人才占技能人才比例</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10</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15</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lang w:eastAsia="zh-CN"/>
              </w:rPr>
            </w:pPr>
            <w:r>
              <w:rPr>
                <w:rFonts w:hint="eastAsia" w:ascii="Times New Roman" w:hAnsi="Times New Roman" w:eastAsia="宋体"/>
                <w:szCs w:val="21"/>
              </w:rPr>
              <w:t>1</w:t>
            </w:r>
            <w:r>
              <w:rPr>
                <w:rFonts w:hint="eastAsia" w:ascii="Times New Roman" w:hAnsi="Times New Roman" w:eastAsia="宋体"/>
                <w:szCs w:val="21"/>
                <w:lang w:val="en-US" w:eastAsia="zh-CN"/>
              </w:rPr>
              <w:t>3</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新增取得职业资格证书或职业技能等级证书人数</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人</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200</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w:t>
            </w:r>
            <w:r>
              <w:rPr>
                <w:rFonts w:hint="eastAsia" w:ascii="Times New Roman" w:hAnsi="Times New Roman" w:eastAsia="宋体"/>
                <w:szCs w:val="21"/>
                <w:lang w:val="en-US" w:eastAsia="zh-CN"/>
              </w:rPr>
              <w:t>1500</w:t>
            </w:r>
            <w:r>
              <w:rPr>
                <w:rFonts w:hint="eastAsia" w:ascii="Times New Roman" w:hAnsi="Times New Roman" w:eastAsia="宋体"/>
                <w:szCs w:val="21"/>
              </w:rPr>
              <w:t>]</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14</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开展补贴性职业技能培训人次</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人</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3000</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w:t>
            </w:r>
            <w:r>
              <w:rPr>
                <w:rFonts w:hint="eastAsia" w:ascii="Times New Roman" w:hAnsi="Times New Roman" w:eastAsia="宋体"/>
                <w:szCs w:val="21"/>
                <w:lang w:val="en-US" w:eastAsia="zh-CN"/>
              </w:rPr>
              <w:t>10000</w:t>
            </w:r>
            <w:r>
              <w:rPr>
                <w:rFonts w:hint="eastAsia" w:ascii="Times New Roman" w:hAnsi="Times New Roman" w:eastAsia="宋体"/>
                <w:szCs w:val="21"/>
              </w:rPr>
              <w:t>]</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15</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其中：农民工参加职业培训人次</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人</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w:t>
            </w:r>
            <w:r>
              <w:rPr>
                <w:rFonts w:hint="eastAsia" w:ascii="Times New Roman" w:hAnsi="Times New Roman" w:eastAsia="宋体"/>
                <w:szCs w:val="21"/>
                <w:lang w:val="en-US" w:eastAsia="zh-CN"/>
              </w:rPr>
              <w:t>2000</w:t>
            </w:r>
            <w:r>
              <w:rPr>
                <w:rFonts w:hint="eastAsia" w:ascii="Times New Roman" w:hAnsi="Times New Roman" w:eastAsia="宋体"/>
                <w:szCs w:val="21"/>
              </w:rPr>
              <w:t>]</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16</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“粤菜师傅”培训人次</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人次</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200</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w:t>
            </w:r>
            <w:r>
              <w:rPr>
                <w:rFonts w:hint="eastAsia" w:ascii="Times New Roman" w:hAnsi="Times New Roman" w:eastAsia="宋体"/>
                <w:szCs w:val="21"/>
                <w:lang w:val="en-US" w:eastAsia="zh-CN"/>
              </w:rPr>
              <w:t>1000</w:t>
            </w:r>
            <w:r>
              <w:rPr>
                <w:rFonts w:hint="eastAsia" w:ascii="Times New Roman" w:hAnsi="Times New Roman" w:eastAsia="宋体"/>
                <w:szCs w:val="21"/>
              </w:rPr>
              <w:t>]</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17</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“南粤家政”培训人次</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人次</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200</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w:t>
            </w:r>
            <w:r>
              <w:rPr>
                <w:rFonts w:hint="eastAsia" w:ascii="Times New Roman" w:hAnsi="Times New Roman" w:eastAsia="宋体"/>
                <w:szCs w:val="21"/>
                <w:lang w:val="en-US" w:eastAsia="zh-CN"/>
              </w:rPr>
              <w:t>1000</w:t>
            </w:r>
            <w:r>
              <w:rPr>
                <w:rFonts w:hint="eastAsia" w:ascii="Times New Roman" w:hAnsi="Times New Roman" w:eastAsia="宋体"/>
                <w:szCs w:val="21"/>
              </w:rPr>
              <w:t>]</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18</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“农村电商”培训人数</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人</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100</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w:t>
            </w:r>
            <w:r>
              <w:rPr>
                <w:rFonts w:hint="eastAsia" w:ascii="Times New Roman" w:hAnsi="Times New Roman" w:eastAsia="宋体"/>
                <w:szCs w:val="21"/>
                <w:lang w:val="en-US" w:eastAsia="zh-CN"/>
              </w:rPr>
              <w:t>500</w:t>
            </w:r>
            <w:r>
              <w:rPr>
                <w:rFonts w:hint="eastAsia" w:ascii="Times New Roman" w:hAnsi="Times New Roman" w:eastAsia="宋体"/>
                <w:szCs w:val="21"/>
              </w:rPr>
              <w:t>]</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trPr>
        <w:tc>
          <w:tcPr>
            <w:tcW w:w="9088" w:type="dxa"/>
            <w:gridSpan w:val="6"/>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四、劳动关系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19</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劳动人事争议调解成功率</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98</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&gt;60</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lang w:eastAsia="zh-CN"/>
              </w:rPr>
            </w:pPr>
            <w:r>
              <w:rPr>
                <w:rFonts w:hint="eastAsia" w:ascii="Times New Roman" w:hAnsi="Times New Roman" w:eastAsia="宋体"/>
                <w:szCs w:val="21"/>
              </w:rPr>
              <w:t>2</w:t>
            </w:r>
            <w:r>
              <w:rPr>
                <w:rFonts w:hint="eastAsia" w:ascii="Times New Roman" w:hAnsi="Times New Roman" w:eastAsia="宋体"/>
                <w:szCs w:val="21"/>
                <w:lang w:val="en-US" w:eastAsia="zh-CN"/>
              </w:rPr>
              <w:t>0</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劳动人事争议仲裁结案率</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100</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&gt;90</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lang w:eastAsia="zh-CN"/>
              </w:rPr>
            </w:pPr>
            <w:r>
              <w:rPr>
                <w:rFonts w:hint="eastAsia" w:ascii="Times New Roman" w:hAnsi="Times New Roman" w:eastAsia="宋体"/>
                <w:szCs w:val="21"/>
              </w:rPr>
              <w:t>2</w:t>
            </w:r>
            <w:r>
              <w:rPr>
                <w:rFonts w:hint="eastAsia" w:ascii="Times New Roman" w:hAnsi="Times New Roman" w:eastAsia="宋体"/>
                <w:szCs w:val="21"/>
                <w:lang w:val="en-US" w:eastAsia="zh-CN"/>
              </w:rPr>
              <w:t>1</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劳动保障监察举报投诉案件结案率</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100</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&gt;96</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trPr>
        <w:tc>
          <w:tcPr>
            <w:tcW w:w="9088" w:type="dxa"/>
            <w:gridSpan w:val="6"/>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五、公共服务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lang w:eastAsia="zh-CN"/>
              </w:rPr>
            </w:pPr>
            <w:r>
              <w:rPr>
                <w:rFonts w:hint="eastAsia" w:ascii="Times New Roman" w:hAnsi="Times New Roman" w:eastAsia="宋体"/>
                <w:szCs w:val="21"/>
              </w:rPr>
              <w:t>2</w:t>
            </w:r>
            <w:r>
              <w:rPr>
                <w:rFonts w:hint="eastAsia" w:ascii="Times New Roman" w:hAnsi="Times New Roman" w:eastAsia="宋体"/>
                <w:szCs w:val="21"/>
                <w:lang w:val="en-US" w:eastAsia="zh-CN"/>
              </w:rPr>
              <w:t>2</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社会保障卡持卡人数</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万人</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39.45</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39.45</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lang w:eastAsia="zh-CN"/>
              </w:rPr>
            </w:pPr>
            <w:r>
              <w:rPr>
                <w:rFonts w:hint="eastAsia" w:ascii="Times New Roman" w:hAnsi="Times New Roman" w:eastAsia="宋体"/>
                <w:szCs w:val="21"/>
              </w:rPr>
              <w:t>2</w:t>
            </w:r>
            <w:r>
              <w:rPr>
                <w:rFonts w:hint="eastAsia" w:ascii="Times New Roman" w:hAnsi="Times New Roman" w:eastAsia="宋体"/>
                <w:szCs w:val="21"/>
                <w:lang w:val="en-US" w:eastAsia="zh-CN"/>
              </w:rPr>
              <w:t>3</w:t>
            </w:r>
          </w:p>
        </w:tc>
        <w:tc>
          <w:tcPr>
            <w:tcW w:w="3526"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其中：申领电子社保卡人口覆盖率</w:t>
            </w:r>
          </w:p>
        </w:tc>
        <w:tc>
          <w:tcPr>
            <w:tcW w:w="878"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w:t>
            </w:r>
          </w:p>
        </w:tc>
        <w:tc>
          <w:tcPr>
            <w:tcW w:w="1393"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default" w:ascii="Times New Roman" w:hAnsi="Times New Roman" w:eastAsia="宋体"/>
                <w:szCs w:val="21"/>
                <w:lang w:val="en-US" w:eastAsia="zh-CN"/>
              </w:rPr>
            </w:pPr>
            <w:r>
              <w:rPr>
                <w:rFonts w:hint="eastAsia" w:ascii="Times New Roman" w:hAnsi="Times New Roman" w:eastAsia="宋体"/>
                <w:szCs w:val="21"/>
                <w:lang w:val="en-US" w:eastAsia="zh-CN"/>
              </w:rPr>
              <w:t>--</w:t>
            </w:r>
          </w:p>
        </w:tc>
        <w:tc>
          <w:tcPr>
            <w:tcW w:w="1479"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75</w:t>
            </w:r>
          </w:p>
        </w:tc>
        <w:tc>
          <w:tcPr>
            <w:tcW w:w="109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560" w:lineRule="exact"/>
              <w:jc w:val="center"/>
              <w:rPr>
                <w:rFonts w:hint="eastAsia" w:ascii="Times New Roman" w:hAnsi="Times New Roman" w:eastAsia="宋体"/>
                <w:szCs w:val="21"/>
              </w:rPr>
            </w:pPr>
            <w:r>
              <w:rPr>
                <w:rFonts w:hint="eastAsia" w:ascii="Times New Roman" w:hAnsi="Times New Roman" w:eastAsia="宋体"/>
                <w:szCs w:val="21"/>
              </w:rPr>
              <w:t>预期性</w:t>
            </w:r>
          </w:p>
        </w:tc>
      </w:tr>
    </w:tbl>
    <w:p>
      <w:pPr>
        <w:adjustRightInd w:val="0"/>
        <w:snapToGrid w:val="0"/>
        <w:spacing w:before="120" w:beforeLines="50" w:line="360" w:lineRule="auto"/>
        <w:ind w:firstLine="420" w:firstLineChars="200"/>
        <w:rPr>
          <w:rStyle w:val="17"/>
          <w:rFonts w:ascii="Times New Roman" w:hAnsi="Times New Roman" w:eastAsia="楷体"/>
          <w:color w:val="auto"/>
          <w:szCs w:val="21"/>
          <w:highlight w:val="none"/>
        </w:rPr>
      </w:pPr>
      <w:r>
        <w:rPr>
          <w:rFonts w:hint="eastAsia" w:ascii="Times New Roman" w:hAnsi="Times New Roman" w:eastAsia="楷体"/>
          <w:color w:val="auto"/>
          <w:szCs w:val="21"/>
          <w:highlight w:val="none"/>
        </w:rPr>
        <w:t>注：[ ] 内为5年累计数</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hint="eastAsia" w:ascii="Calibri" w:hAnsi="Calibri" w:eastAsia="黑体"/>
          <w:sz w:val="44"/>
          <w:szCs w:val="44"/>
          <w:lang w:val="en-US" w:eastAsia="zh-CN"/>
        </w:rPr>
      </w:pPr>
      <w:bookmarkStart w:id="18" w:name="_Toc10461"/>
    </w:p>
    <w:p>
      <w:pPr>
        <w:rPr>
          <w:rFonts w:hint="eastAsia"/>
          <w:lang w:val="en-US" w:eastAsia="zh-CN"/>
        </w:r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hint="eastAsia" w:ascii="Calibri" w:hAnsi="Calibri" w:eastAsia="黑体"/>
          <w:sz w:val="44"/>
          <w:szCs w:val="44"/>
          <w:lang w:val="en-US" w:eastAsia="zh-CN"/>
        </w:r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ascii="Calibri" w:hAnsi="Calibri" w:eastAsia="黑体"/>
          <w:sz w:val="44"/>
          <w:szCs w:val="44"/>
          <w:lang w:val="en-US" w:eastAsia="zh-CN"/>
        </w:rPr>
      </w:pPr>
      <w:bookmarkStart w:id="19" w:name="_Toc20329"/>
      <w:r>
        <w:rPr>
          <w:rFonts w:hint="eastAsia" w:ascii="Calibri" w:hAnsi="Calibri" w:eastAsia="黑体"/>
          <w:sz w:val="44"/>
          <w:szCs w:val="44"/>
          <w:lang w:val="en-US" w:eastAsia="zh-CN"/>
        </w:rPr>
        <w:t>第三章  促进深汕人社制度有效对接</w:t>
      </w:r>
      <w:bookmarkEnd w:id="18"/>
      <w:bookmarkEnd w:id="19"/>
    </w:p>
    <w:p>
      <w:pPr>
        <w:adjustRightInd w:val="0"/>
        <w:spacing w:line="360" w:lineRule="auto"/>
        <w:ind w:firstLine="640" w:firstLineChars="200"/>
        <w:rPr>
          <w:rStyle w:val="17"/>
          <w:rFonts w:hint="eastAsia" w:hAnsi="仿宋" w:eastAsia="仿宋_GB2312" w:cs="仿宋"/>
          <w:sz w:val="32"/>
          <w:szCs w:val="32"/>
        </w:rPr>
      </w:pPr>
      <w:r>
        <w:rPr>
          <w:rStyle w:val="17"/>
          <w:rFonts w:hint="eastAsia" w:hAnsi="仿宋" w:eastAsia="仿宋_GB2312" w:cs="仿宋"/>
          <w:sz w:val="32"/>
          <w:szCs w:val="32"/>
        </w:rPr>
        <w:t>加强就业合作，健全人才政策体系对接，推进公共服务一体化发展，为全面接轨深圳</w:t>
      </w:r>
      <w:r>
        <w:rPr>
          <w:rStyle w:val="17"/>
          <w:rFonts w:hint="eastAsia" w:hAnsi="仿宋" w:eastAsia="仿宋_GB2312" w:cs="仿宋"/>
          <w:sz w:val="32"/>
          <w:szCs w:val="32"/>
          <w:lang w:eastAsia="zh-CN"/>
        </w:rPr>
        <w:t>、</w:t>
      </w:r>
      <w:r>
        <w:rPr>
          <w:rStyle w:val="17"/>
          <w:rFonts w:hint="eastAsia" w:hAnsi="仿宋" w:eastAsia="仿宋_GB2312" w:cs="仿宋"/>
          <w:sz w:val="32"/>
          <w:szCs w:val="32"/>
        </w:rPr>
        <w:t>全力融入“双区”</w:t>
      </w:r>
      <w:r>
        <w:rPr>
          <w:rStyle w:val="17"/>
          <w:rFonts w:hint="eastAsia" w:hAnsi="仿宋" w:eastAsia="仿宋_GB2312" w:cs="仿宋"/>
          <w:sz w:val="32"/>
          <w:szCs w:val="32"/>
          <w:lang w:eastAsia="zh-CN"/>
        </w:rPr>
        <w:t>，</w:t>
      </w:r>
      <w:r>
        <w:rPr>
          <w:rStyle w:val="17"/>
          <w:rFonts w:hint="eastAsia" w:hAnsi="仿宋" w:eastAsia="仿宋_GB2312" w:cs="仿宋"/>
          <w:color w:val="auto"/>
          <w:sz w:val="32"/>
          <w:szCs w:val="32"/>
          <w:highlight w:val="none"/>
          <w:lang w:eastAsia="zh-CN"/>
        </w:rPr>
        <w:t>加快</w:t>
      </w:r>
      <w:r>
        <w:rPr>
          <w:rStyle w:val="17"/>
          <w:rFonts w:hint="eastAsia" w:hAnsi="仿宋" w:eastAsia="仿宋_GB2312" w:cs="仿宋"/>
          <w:color w:val="auto"/>
          <w:sz w:val="32"/>
          <w:szCs w:val="32"/>
          <w:highlight w:val="none"/>
        </w:rPr>
        <w:t>建设</w:t>
      </w:r>
      <w:r>
        <w:rPr>
          <w:rStyle w:val="17"/>
          <w:rFonts w:hint="eastAsia" w:hAnsi="仿宋" w:eastAsia="仿宋_GB2312" w:cs="仿宋"/>
          <w:color w:val="auto"/>
          <w:sz w:val="32"/>
          <w:szCs w:val="32"/>
          <w:highlight w:val="none"/>
          <w:lang w:eastAsia="zh-CN"/>
        </w:rPr>
        <w:t>沿海经济带靓丽明珠</w:t>
      </w:r>
      <w:r>
        <w:rPr>
          <w:rStyle w:val="17"/>
          <w:rFonts w:hint="eastAsia" w:hAnsi="仿宋" w:eastAsia="仿宋_GB2312" w:cs="仿宋"/>
          <w:color w:val="auto"/>
          <w:sz w:val="32"/>
          <w:szCs w:val="32"/>
          <w:highlight w:val="none"/>
        </w:rPr>
        <w:t>提供新动能。</w:t>
      </w:r>
    </w:p>
    <w:p>
      <w:pPr>
        <w:pStyle w:val="2"/>
      </w:pP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Cambria" w:hAnsi="Cambria" w:eastAsia="楷体_GB2312"/>
          <w:color w:val="000000"/>
          <w:sz w:val="34"/>
        </w:rPr>
      </w:pPr>
      <w:bookmarkStart w:id="20" w:name="_Toc14195"/>
      <w:bookmarkStart w:id="21" w:name="_Toc31746"/>
      <w:r>
        <w:rPr>
          <w:rFonts w:hint="eastAsia" w:ascii="Cambria" w:hAnsi="Cambria" w:eastAsia="楷体_GB2312"/>
          <w:color w:val="000000"/>
          <w:sz w:val="34"/>
        </w:rPr>
        <w:t>第一节  加强就业合作</w:t>
      </w:r>
      <w:bookmarkEnd w:id="20"/>
      <w:bookmarkEnd w:id="21"/>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Style w:val="17"/>
          <w:rFonts w:hAnsi="仿宋" w:eastAsia="仿宋_GB2312" w:cs="仿宋"/>
          <w:color w:val="auto"/>
          <w:sz w:val="32"/>
          <w:szCs w:val="32"/>
        </w:rPr>
      </w:pPr>
      <w:r>
        <w:rPr>
          <w:rStyle w:val="17"/>
          <w:rFonts w:hint="eastAsia" w:hAnsi="仿宋" w:eastAsia="仿宋_GB2312" w:cs="仿宋"/>
          <w:b/>
          <w:sz w:val="32"/>
          <w:szCs w:val="32"/>
        </w:rPr>
        <w:t>加强就业创业政策体系对接。</w:t>
      </w:r>
      <w:r>
        <w:rPr>
          <w:rStyle w:val="17"/>
          <w:rFonts w:hint="eastAsia" w:hAnsi="仿宋" w:eastAsia="仿宋_GB2312" w:cs="仿宋"/>
          <w:b w:val="0"/>
          <w:bCs/>
          <w:sz w:val="32"/>
          <w:szCs w:val="32"/>
          <w:lang w:eastAsia="zh-CN"/>
        </w:rPr>
        <w:t>依托深圳光明区的帮扶，</w:t>
      </w:r>
      <w:r>
        <w:rPr>
          <w:rStyle w:val="17"/>
          <w:rFonts w:hint="eastAsia" w:hAnsi="仿宋" w:eastAsia="仿宋_GB2312" w:cs="仿宋"/>
          <w:color w:val="auto"/>
          <w:sz w:val="32"/>
          <w:szCs w:val="32"/>
        </w:rPr>
        <w:t>加强与深圳</w:t>
      </w:r>
      <w:r>
        <w:rPr>
          <w:rStyle w:val="17"/>
          <w:rFonts w:hint="eastAsia" w:hAnsi="仿宋" w:eastAsia="仿宋_GB2312" w:cs="仿宋"/>
          <w:color w:val="auto"/>
          <w:sz w:val="32"/>
          <w:szCs w:val="32"/>
          <w:lang w:eastAsia="zh-CN"/>
        </w:rPr>
        <w:t>光明区</w:t>
      </w:r>
      <w:r>
        <w:rPr>
          <w:rStyle w:val="17"/>
          <w:rFonts w:hint="eastAsia" w:hAnsi="仿宋" w:eastAsia="仿宋_GB2312" w:cs="仿宋"/>
          <w:color w:val="auto"/>
          <w:sz w:val="32"/>
          <w:szCs w:val="32"/>
        </w:rPr>
        <w:t>的劳务协作，建立劳务对接信息平台，加强与深圳的信息共享，畅通就业通道。共享高校毕业生信息，吸引深圳高校毕业生到汕尾工作。加强创业政策体系对接，整合由深圳返乡、入乡创业</w:t>
      </w:r>
      <w:r>
        <w:rPr>
          <w:rStyle w:val="17"/>
          <w:rFonts w:hint="eastAsia" w:hAnsi="仿宋" w:eastAsia="仿宋_GB2312" w:cs="仿宋"/>
          <w:color w:val="auto"/>
          <w:sz w:val="32"/>
          <w:szCs w:val="32"/>
          <w:lang w:eastAsia="zh-CN"/>
        </w:rPr>
        <w:t>载体资源，建立创业</w:t>
      </w:r>
      <w:r>
        <w:rPr>
          <w:rStyle w:val="17"/>
          <w:rFonts w:hint="eastAsia" w:hAnsi="仿宋" w:eastAsia="仿宋_GB2312" w:cs="仿宋"/>
          <w:color w:val="auto"/>
          <w:sz w:val="32"/>
          <w:szCs w:val="32"/>
        </w:rPr>
        <w:t>带动就业专项资金长效投入机制，为返乡入乡人员提供优质创业服务。加强就业形势分析协调合作。</w:t>
      </w:r>
    </w:p>
    <w:p>
      <w:pPr>
        <w:keepLines w:val="0"/>
        <w:pageBreakBefore w:val="0"/>
        <w:kinsoku/>
        <w:wordWrap/>
        <w:overflowPunct/>
        <w:topLinePunct w:val="0"/>
        <w:autoSpaceDE/>
        <w:autoSpaceDN/>
        <w:bidi w:val="0"/>
        <w:adjustRightInd w:val="0"/>
        <w:spacing w:line="560" w:lineRule="exact"/>
        <w:ind w:firstLine="643" w:firstLineChars="200"/>
        <w:rPr>
          <w:rStyle w:val="17"/>
          <w:rFonts w:hAnsi="仿宋" w:eastAsia="仿宋_GB2312" w:cs="仿宋"/>
          <w:sz w:val="32"/>
          <w:szCs w:val="32"/>
        </w:rPr>
      </w:pPr>
      <w:r>
        <w:rPr>
          <w:rStyle w:val="17"/>
          <w:rFonts w:hint="eastAsia" w:hAnsi="仿宋" w:eastAsia="仿宋_GB2312" w:cs="仿宋"/>
          <w:b/>
          <w:sz w:val="32"/>
          <w:szCs w:val="32"/>
        </w:rPr>
        <w:t>建立深汕劳动纠纷合作解决机制。</w:t>
      </w:r>
      <w:r>
        <w:rPr>
          <w:rStyle w:val="17"/>
          <w:rFonts w:hint="eastAsia" w:hAnsi="仿宋" w:eastAsia="仿宋_GB2312" w:cs="仿宋"/>
          <w:sz w:val="32"/>
          <w:szCs w:val="32"/>
        </w:rPr>
        <w:t>进一步强化劳动保障违法案件信息信用共享，深化深汕监察案件协查、调解仲裁协作、农民工维权服务，加强劳动用工和人才权益保护，促进劳动用工融合及纠纷处理衔接。</w:t>
      </w: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Cambria" w:hAnsi="Cambria" w:eastAsia="楷体_GB2312"/>
          <w:color w:val="000000"/>
          <w:sz w:val="34"/>
        </w:rPr>
      </w:pPr>
      <w:bookmarkStart w:id="22" w:name="_Toc7957"/>
      <w:bookmarkStart w:id="23" w:name="_Toc2819"/>
      <w:r>
        <w:rPr>
          <w:rFonts w:hint="eastAsia" w:ascii="Cambria" w:hAnsi="Cambria" w:eastAsia="楷体_GB2312"/>
          <w:color w:val="000000"/>
          <w:sz w:val="34"/>
        </w:rPr>
        <w:t>第二节  加强人才合作</w:t>
      </w:r>
      <w:bookmarkEnd w:id="22"/>
      <w:bookmarkEnd w:id="23"/>
    </w:p>
    <w:p>
      <w:pPr>
        <w:keepLines w:val="0"/>
        <w:pageBreakBefore w:val="0"/>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rPr>
          <w:rStyle w:val="17"/>
          <w:rFonts w:hAnsi="仿宋" w:eastAsia="仿宋_GB2312" w:cs="仿宋"/>
          <w:b w:val="0"/>
          <w:i w:val="0"/>
          <w:caps w:val="0"/>
          <w:color w:val="auto"/>
          <w:spacing w:val="0"/>
          <w:w w:val="100"/>
          <w:sz w:val="32"/>
          <w:szCs w:val="32"/>
        </w:rPr>
      </w:pPr>
      <w:r>
        <w:rPr>
          <w:rStyle w:val="17"/>
          <w:rFonts w:hint="eastAsia" w:hAnsi="仿宋" w:eastAsia="仿宋_GB2312" w:cs="仿宋"/>
          <w:b/>
          <w:sz w:val="32"/>
          <w:szCs w:val="32"/>
        </w:rPr>
        <w:t>建立人才合作培养机制。</w:t>
      </w:r>
      <w:r>
        <w:rPr>
          <w:rStyle w:val="17"/>
          <w:rFonts w:hint="eastAsia" w:hAnsi="仿宋" w:eastAsia="仿宋_GB2312" w:cs="仿宋"/>
          <w:b w:val="0"/>
          <w:i w:val="0"/>
          <w:caps w:val="0"/>
          <w:color w:val="auto"/>
          <w:spacing w:val="0"/>
          <w:w w:val="100"/>
          <w:sz w:val="32"/>
          <w:szCs w:val="32"/>
        </w:rPr>
        <w:t>利用深圳的职业技术教育资源优势，吸引深圳的职业技术教育机构在汕尾</w:t>
      </w:r>
      <w:r>
        <w:rPr>
          <w:rStyle w:val="17"/>
          <w:rFonts w:hint="eastAsia" w:hAnsi="仿宋" w:eastAsia="仿宋_GB2312" w:cs="仿宋"/>
          <w:b w:val="0"/>
          <w:i w:val="0"/>
          <w:caps w:val="0"/>
          <w:color w:val="auto"/>
          <w:spacing w:val="0"/>
          <w:w w:val="100"/>
          <w:sz w:val="32"/>
          <w:szCs w:val="32"/>
          <w:lang w:eastAsia="zh-CN"/>
        </w:rPr>
        <w:t>城区</w:t>
      </w:r>
      <w:r>
        <w:rPr>
          <w:rStyle w:val="17"/>
          <w:rFonts w:hint="eastAsia" w:hAnsi="仿宋" w:eastAsia="仿宋_GB2312" w:cs="仿宋"/>
          <w:b w:val="0"/>
          <w:i w:val="0"/>
          <w:caps w:val="0"/>
          <w:color w:val="auto"/>
          <w:spacing w:val="0"/>
          <w:w w:val="100"/>
          <w:sz w:val="32"/>
          <w:szCs w:val="32"/>
        </w:rPr>
        <w:t>设立培训点，针对汕尾</w:t>
      </w:r>
      <w:r>
        <w:rPr>
          <w:rStyle w:val="17"/>
          <w:rFonts w:hint="eastAsia" w:hAnsi="仿宋" w:eastAsia="仿宋_GB2312" w:cs="仿宋"/>
          <w:b w:val="0"/>
          <w:i w:val="0"/>
          <w:caps w:val="0"/>
          <w:color w:val="auto"/>
          <w:spacing w:val="0"/>
          <w:w w:val="100"/>
          <w:sz w:val="32"/>
          <w:szCs w:val="32"/>
          <w:lang w:eastAsia="zh-CN"/>
        </w:rPr>
        <w:t>城区</w:t>
      </w:r>
      <w:r>
        <w:rPr>
          <w:rStyle w:val="17"/>
          <w:rFonts w:hint="eastAsia" w:hAnsi="仿宋" w:eastAsia="仿宋_GB2312" w:cs="仿宋"/>
          <w:b w:val="0"/>
          <w:i w:val="0"/>
          <w:caps w:val="0"/>
          <w:color w:val="auto"/>
          <w:spacing w:val="0"/>
          <w:w w:val="100"/>
          <w:sz w:val="32"/>
          <w:szCs w:val="32"/>
        </w:rPr>
        <w:t>的重点产业，大规模开展职业技能培训。支持汕尾、深圳各类职业院校在汕尾</w:t>
      </w:r>
      <w:r>
        <w:rPr>
          <w:rStyle w:val="17"/>
          <w:rFonts w:hint="eastAsia" w:hAnsi="仿宋" w:eastAsia="仿宋_GB2312" w:cs="仿宋"/>
          <w:b w:val="0"/>
          <w:i w:val="0"/>
          <w:caps w:val="0"/>
          <w:color w:val="auto"/>
          <w:spacing w:val="0"/>
          <w:w w:val="100"/>
          <w:sz w:val="32"/>
          <w:szCs w:val="32"/>
          <w:lang w:eastAsia="zh-CN"/>
        </w:rPr>
        <w:t>城区</w:t>
      </w:r>
      <w:r>
        <w:rPr>
          <w:rStyle w:val="17"/>
          <w:rFonts w:hint="eastAsia" w:hAnsi="仿宋" w:eastAsia="仿宋_GB2312" w:cs="仿宋"/>
          <w:b w:val="0"/>
          <w:i w:val="0"/>
          <w:caps w:val="0"/>
          <w:color w:val="auto"/>
          <w:spacing w:val="0"/>
          <w:w w:val="100"/>
          <w:sz w:val="32"/>
          <w:szCs w:val="32"/>
        </w:rPr>
        <w:t>单独或者与企业联合办学。支持汕尾、深圳人才交流、职业介绍等中介机构在汕尾</w:t>
      </w:r>
      <w:r>
        <w:rPr>
          <w:rStyle w:val="17"/>
          <w:rFonts w:hint="eastAsia" w:hAnsi="仿宋" w:eastAsia="仿宋_GB2312" w:cs="仿宋"/>
          <w:b w:val="0"/>
          <w:i w:val="0"/>
          <w:caps w:val="0"/>
          <w:color w:val="auto"/>
          <w:spacing w:val="0"/>
          <w:w w:val="100"/>
          <w:sz w:val="32"/>
          <w:szCs w:val="32"/>
          <w:lang w:eastAsia="zh-CN"/>
        </w:rPr>
        <w:t>城区</w:t>
      </w:r>
      <w:r>
        <w:rPr>
          <w:rStyle w:val="17"/>
          <w:rFonts w:hint="eastAsia" w:hAnsi="仿宋" w:eastAsia="仿宋_GB2312" w:cs="仿宋"/>
          <w:b w:val="0"/>
          <w:i w:val="0"/>
          <w:caps w:val="0"/>
          <w:color w:val="auto"/>
          <w:spacing w:val="0"/>
          <w:w w:val="100"/>
          <w:sz w:val="32"/>
          <w:szCs w:val="32"/>
        </w:rPr>
        <w:t>设立分支机构。依托国内著名高校和深圳研究机构，深化深汕</w:t>
      </w:r>
      <w:r>
        <w:rPr>
          <w:rStyle w:val="17"/>
          <w:rFonts w:hint="eastAsia" w:hAnsi="仿宋" w:eastAsia="仿宋_GB2312" w:cs="仿宋"/>
          <w:b w:val="0"/>
          <w:i w:val="0"/>
          <w:caps w:val="0"/>
          <w:color w:val="auto"/>
          <w:spacing w:val="0"/>
          <w:w w:val="100"/>
          <w:sz w:val="32"/>
          <w:szCs w:val="32"/>
          <w:lang w:eastAsia="zh-CN"/>
        </w:rPr>
        <w:t>高层次</w:t>
      </w:r>
      <w:r>
        <w:rPr>
          <w:rStyle w:val="17"/>
          <w:rFonts w:hint="eastAsia" w:hAnsi="仿宋" w:eastAsia="仿宋_GB2312" w:cs="仿宋"/>
          <w:b w:val="0"/>
          <w:i w:val="0"/>
          <w:caps w:val="0"/>
          <w:color w:val="auto"/>
          <w:spacing w:val="0"/>
          <w:w w:val="100"/>
          <w:sz w:val="32"/>
          <w:szCs w:val="32"/>
        </w:rPr>
        <w:t>人才与项目的合作。</w:t>
      </w:r>
    </w:p>
    <w:p>
      <w:pPr>
        <w:keepLines w:val="0"/>
        <w:pageBreakBefore w:val="0"/>
        <w:kinsoku/>
        <w:wordWrap/>
        <w:overflowPunct/>
        <w:topLinePunct w:val="0"/>
        <w:autoSpaceDE/>
        <w:autoSpaceDN/>
        <w:bidi w:val="0"/>
        <w:snapToGrid w:val="0"/>
        <w:spacing w:before="0" w:beforeAutospacing="0" w:after="0" w:afterAutospacing="0" w:line="560" w:lineRule="exact"/>
        <w:ind w:firstLine="643" w:firstLineChars="200"/>
        <w:jc w:val="both"/>
        <w:textAlignment w:val="baseline"/>
        <w:rPr>
          <w:rStyle w:val="17"/>
          <w:rFonts w:hAnsi="仿宋" w:eastAsia="仿宋_GB2312" w:cs="仿宋"/>
          <w:color w:val="auto"/>
          <w:sz w:val="32"/>
          <w:szCs w:val="32"/>
        </w:rPr>
      </w:pPr>
      <w:r>
        <w:rPr>
          <w:rStyle w:val="17"/>
          <w:rFonts w:hint="eastAsia" w:hAnsi="仿宋" w:eastAsia="仿宋_GB2312" w:cs="仿宋"/>
          <w:b/>
          <w:color w:val="auto"/>
          <w:sz w:val="32"/>
          <w:szCs w:val="32"/>
        </w:rPr>
        <w:t>建立人才交流机制。</w:t>
      </w:r>
      <w:r>
        <w:rPr>
          <w:rStyle w:val="17"/>
          <w:rFonts w:hint="eastAsia" w:hAnsi="仿宋" w:eastAsia="仿宋_GB2312" w:cs="仿宋"/>
          <w:b w:val="0"/>
          <w:i w:val="0"/>
          <w:caps w:val="0"/>
          <w:color w:val="auto"/>
          <w:spacing w:val="0"/>
          <w:w w:val="100"/>
          <w:sz w:val="32"/>
          <w:szCs w:val="32"/>
        </w:rPr>
        <w:t>加强人力资源服务</w:t>
      </w:r>
      <w:r>
        <w:rPr>
          <w:rStyle w:val="17"/>
          <w:rFonts w:hint="eastAsia" w:hAnsi="仿宋" w:eastAsia="仿宋_GB2312" w:cs="仿宋"/>
          <w:b w:val="0"/>
          <w:i w:val="0"/>
          <w:caps w:val="0"/>
          <w:color w:val="auto"/>
          <w:spacing w:val="0"/>
          <w:w w:val="100"/>
          <w:sz w:val="32"/>
          <w:szCs w:val="32"/>
          <w:lang w:eastAsia="zh-CN"/>
        </w:rPr>
        <w:t>合作</w:t>
      </w:r>
      <w:r>
        <w:rPr>
          <w:rStyle w:val="17"/>
          <w:rFonts w:hint="eastAsia" w:hAnsi="仿宋" w:eastAsia="仿宋_GB2312" w:cs="仿宋"/>
          <w:b w:val="0"/>
          <w:i w:val="0"/>
          <w:caps w:val="0"/>
          <w:color w:val="auto"/>
          <w:spacing w:val="0"/>
          <w:w w:val="100"/>
          <w:sz w:val="32"/>
          <w:szCs w:val="32"/>
        </w:rPr>
        <w:t>，促进市场的互融互通和共建共享。举办或承办“高端人才创新创业交流大会”留学生节等人才交流活动，积极邀请深圳及港澳人才、企业、机构参加，加强与深圳的人才合作交流。建立人才协同发展的推进机制、定期会商机制，拓展沟通联系渠道，搭建协调互动平台，密切合作关系。支持鼓励汕尾与深圳人才组织、科技组织、工商企业界、专业服务界、学术界等开展沟通交流，推动两地人才常态化交流合作。</w:t>
      </w: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hint="eastAsia" w:ascii="Cambria" w:hAnsi="Cambria" w:eastAsia="楷体_GB2312"/>
          <w:color w:val="000000"/>
          <w:sz w:val="34"/>
        </w:rPr>
      </w:pPr>
      <w:bookmarkStart w:id="24" w:name="_Toc27397"/>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hint="eastAsia" w:ascii="Cambria" w:hAnsi="Cambria" w:eastAsia="楷体_GB2312"/>
          <w:color w:val="000000"/>
          <w:sz w:val="34"/>
        </w:rPr>
      </w:pPr>
      <w:bookmarkStart w:id="25" w:name="_Toc18933"/>
      <w:r>
        <w:rPr>
          <w:rFonts w:hint="eastAsia" w:ascii="Cambria" w:hAnsi="Cambria" w:eastAsia="楷体_GB2312"/>
          <w:color w:val="000000"/>
          <w:sz w:val="34"/>
        </w:rPr>
        <w:t>第三节  推进公共服务一体化发展</w:t>
      </w:r>
      <w:bookmarkEnd w:id="24"/>
      <w:bookmarkEnd w:id="25"/>
    </w:p>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outlineLvl w:val="9"/>
        <w:rPr>
          <w:rStyle w:val="17"/>
          <w:rFonts w:hAnsi="仿宋" w:eastAsia="仿宋_GB2312" w:cs="仿宋"/>
          <w:color w:val="auto"/>
          <w:sz w:val="32"/>
          <w:szCs w:val="32"/>
          <w:highlight w:val="none"/>
        </w:rPr>
      </w:pPr>
      <w:r>
        <w:rPr>
          <w:rStyle w:val="17"/>
          <w:rFonts w:hint="eastAsia" w:hAnsi="仿宋" w:eastAsia="仿宋_GB2312" w:cs="仿宋"/>
          <w:b/>
          <w:sz w:val="32"/>
          <w:szCs w:val="32"/>
        </w:rPr>
        <w:t>推进服务与数据共享。</w:t>
      </w:r>
      <w:r>
        <w:rPr>
          <w:rStyle w:val="17"/>
          <w:rFonts w:hint="eastAsia" w:hAnsi="仿宋" w:eastAsia="仿宋_GB2312" w:cs="仿宋"/>
          <w:b w:val="0"/>
          <w:bCs/>
          <w:color w:val="auto"/>
          <w:sz w:val="32"/>
          <w:szCs w:val="32"/>
        </w:rPr>
        <w:t>主动配合</w:t>
      </w:r>
      <w:r>
        <w:rPr>
          <w:rStyle w:val="17"/>
          <w:rFonts w:hint="eastAsia" w:hAnsi="仿宋" w:eastAsia="仿宋_GB2312" w:cs="仿宋"/>
          <w:color w:val="auto"/>
          <w:sz w:val="32"/>
          <w:szCs w:val="32"/>
          <w:highlight w:val="none"/>
        </w:rPr>
        <w:t>推进汕尾、深圳</w:t>
      </w:r>
      <w:r>
        <w:rPr>
          <w:rStyle w:val="17"/>
          <w:rFonts w:hint="eastAsia" w:hAnsi="仿宋" w:eastAsia="仿宋_GB2312" w:cs="仿宋"/>
          <w:color w:val="auto"/>
          <w:sz w:val="32"/>
          <w:szCs w:val="32"/>
          <w:highlight w:val="none"/>
          <w:lang w:val="en-US" w:eastAsia="zh-CN"/>
        </w:rPr>
        <w:t>人社政务</w:t>
      </w:r>
      <w:r>
        <w:rPr>
          <w:rStyle w:val="17"/>
          <w:rFonts w:hint="eastAsia" w:hAnsi="仿宋" w:eastAsia="仿宋_GB2312" w:cs="仿宋"/>
          <w:color w:val="auto"/>
          <w:sz w:val="32"/>
          <w:szCs w:val="32"/>
          <w:highlight w:val="none"/>
        </w:rPr>
        <w:t>服务</w:t>
      </w:r>
      <w:r>
        <w:rPr>
          <w:rStyle w:val="17"/>
          <w:rFonts w:hint="eastAsia" w:hAnsi="仿宋" w:eastAsia="仿宋_GB2312" w:cs="仿宋"/>
          <w:color w:val="auto"/>
          <w:sz w:val="32"/>
          <w:szCs w:val="32"/>
          <w:highlight w:val="none"/>
          <w:lang w:val="en-US" w:eastAsia="zh-CN"/>
        </w:rPr>
        <w:t>数据资源互通共享，实现人社政务服务“跨城通办”“一网通办”</w:t>
      </w:r>
      <w:r>
        <w:rPr>
          <w:rStyle w:val="17"/>
          <w:rFonts w:hint="eastAsia" w:hAnsi="仿宋" w:eastAsia="仿宋_GB2312" w:cs="仿宋"/>
          <w:color w:val="auto"/>
          <w:sz w:val="32"/>
          <w:szCs w:val="32"/>
          <w:highlight w:val="none"/>
        </w:rPr>
        <w:t>，探索推进社会保障卡“一卡多用、区域通用”。</w:t>
      </w:r>
    </w:p>
    <w:p>
      <w:pPr>
        <w:keepLines w:val="0"/>
        <w:pageBreakBefore w:val="0"/>
        <w:kinsoku/>
        <w:wordWrap/>
        <w:overflowPunct/>
        <w:topLinePunct w:val="0"/>
        <w:autoSpaceDE/>
        <w:autoSpaceDN/>
        <w:bidi w:val="0"/>
        <w:adjustRightInd w:val="0"/>
        <w:spacing w:line="560" w:lineRule="exact"/>
        <w:ind w:firstLine="643" w:firstLineChars="200"/>
      </w:pPr>
      <w:r>
        <w:rPr>
          <w:rStyle w:val="17"/>
          <w:rFonts w:hint="eastAsia" w:hAnsi="仿宋" w:eastAsia="仿宋_GB2312" w:cs="仿宋"/>
          <w:b/>
          <w:sz w:val="32"/>
          <w:szCs w:val="32"/>
        </w:rPr>
        <w:t>探索养老保险规则衔接。</w:t>
      </w:r>
      <w:r>
        <w:rPr>
          <w:rStyle w:val="17"/>
          <w:rFonts w:hint="eastAsia" w:hAnsi="仿宋" w:eastAsia="仿宋_GB2312" w:cs="仿宋"/>
          <w:sz w:val="32"/>
          <w:szCs w:val="32"/>
        </w:rPr>
        <w:t>主动配合深圳先行示范区和深汕合作区重大战略建设，按省</w:t>
      </w:r>
      <w:r>
        <w:rPr>
          <w:rStyle w:val="17"/>
          <w:rFonts w:hint="eastAsia" w:hAnsi="仿宋" w:eastAsia="仿宋_GB2312" w:cs="仿宋"/>
          <w:sz w:val="32"/>
          <w:szCs w:val="32"/>
          <w:lang w:eastAsia="zh-CN"/>
        </w:rPr>
        <w:t>、市</w:t>
      </w:r>
      <w:r>
        <w:rPr>
          <w:rStyle w:val="17"/>
          <w:rFonts w:hint="eastAsia" w:hAnsi="仿宋" w:eastAsia="仿宋_GB2312" w:cs="仿宋"/>
          <w:sz w:val="32"/>
          <w:szCs w:val="32"/>
        </w:rPr>
        <w:t>的部署</w:t>
      </w:r>
      <w:r>
        <w:rPr>
          <w:rStyle w:val="17"/>
          <w:rFonts w:hint="eastAsia" w:hAnsi="仿宋" w:eastAsia="仿宋_GB2312" w:cs="仿宋"/>
          <w:color w:val="auto"/>
          <w:sz w:val="32"/>
          <w:szCs w:val="32"/>
        </w:rPr>
        <w:t>，加强与深汕合作区的沟通协作，进一步深入探索养老保</w:t>
      </w:r>
      <w:r>
        <w:rPr>
          <w:rStyle w:val="17"/>
          <w:rFonts w:hint="eastAsia" w:hAnsi="仿宋" w:eastAsia="仿宋_GB2312" w:cs="仿宋"/>
          <w:sz w:val="32"/>
          <w:szCs w:val="32"/>
        </w:rPr>
        <w:t>险规则对接、关系衔接，方便两地人员参保，促进各类人才流动。</w:t>
      </w: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hint="eastAsia" w:ascii="Calibri" w:hAnsi="Calibri" w:eastAsia="黑体"/>
          <w:sz w:val="44"/>
          <w:szCs w:val="44"/>
          <w:lang w:val="en-US" w:eastAsia="zh-CN"/>
        </w:rPr>
      </w:pPr>
      <w:bookmarkStart w:id="26" w:name="_Toc1573"/>
      <w:bookmarkStart w:id="27" w:name="_Toc1966"/>
    </w:p>
    <w:p>
      <w:pPr>
        <w:rPr>
          <w:rFonts w:hint="eastAsia"/>
          <w:lang w:val="en-US" w:eastAsia="zh-CN"/>
        </w:r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ascii="Calibri" w:hAnsi="Calibri" w:eastAsia="黑体"/>
          <w:sz w:val="44"/>
          <w:szCs w:val="44"/>
          <w:lang w:val="en-US" w:eastAsia="zh-CN"/>
        </w:rPr>
      </w:pPr>
      <w:bookmarkStart w:id="28" w:name="_Toc2604"/>
      <w:r>
        <w:rPr>
          <w:rFonts w:hint="eastAsia" w:ascii="Calibri" w:hAnsi="Calibri" w:eastAsia="黑体"/>
          <w:sz w:val="44"/>
          <w:szCs w:val="44"/>
          <w:lang w:val="en-US" w:eastAsia="zh-CN"/>
        </w:rPr>
        <w:t>第四章  实现更加充分更高质量就</w:t>
      </w:r>
      <w:bookmarkEnd w:id="26"/>
      <w:r>
        <w:rPr>
          <w:rFonts w:hint="eastAsia" w:ascii="Calibri" w:hAnsi="Calibri" w:eastAsia="黑体"/>
          <w:sz w:val="44"/>
          <w:szCs w:val="44"/>
          <w:lang w:val="en-US" w:eastAsia="zh-CN"/>
        </w:rPr>
        <w:t>业</w:t>
      </w:r>
      <w:bookmarkEnd w:id="27"/>
      <w:bookmarkEnd w:id="28"/>
    </w:p>
    <w:p>
      <w:pPr>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eastAsia="仿宋_GB2312" w:hAnsiTheme="minorEastAsia"/>
          <w:sz w:val="32"/>
          <w:szCs w:val="32"/>
        </w:rPr>
      </w:pPr>
    </w:p>
    <w:p>
      <w:pPr>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坚持就业优先战略和积极就业政策，注重解决就业结构性矛盾，鼓励创业带动就业，推进全方位公共就业服务</w:t>
      </w:r>
      <w:r>
        <w:rPr>
          <w:rFonts w:hint="eastAsia" w:ascii="仿宋_GB2312" w:hAnsi="宋体" w:eastAsia="仿宋_GB2312"/>
          <w:color w:val="auto"/>
          <w:sz w:val="32"/>
          <w:szCs w:val="32"/>
          <w:highlight w:val="none"/>
        </w:rPr>
        <w:t>，推动就业稳定增长，有效防范化解失业风险，确保就业局势总体稳定。</w:t>
      </w:r>
    </w:p>
    <w:p>
      <w:pPr>
        <w:pStyle w:val="2"/>
        <w:rPr>
          <w:rFonts w:hint="eastAsia"/>
        </w:rPr>
      </w:pP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hint="eastAsia" w:ascii="Cambria" w:hAnsi="Cambria" w:eastAsia="楷体_GB2312"/>
          <w:color w:val="000000"/>
          <w:sz w:val="34"/>
        </w:rPr>
      </w:pPr>
      <w:bookmarkStart w:id="29" w:name="_Toc5271"/>
      <w:bookmarkStart w:id="30" w:name="_Toc4212"/>
      <w:r>
        <w:rPr>
          <w:rFonts w:hint="eastAsia" w:ascii="Cambria" w:hAnsi="Cambria" w:eastAsia="楷体_GB2312"/>
          <w:color w:val="000000"/>
          <w:sz w:val="34"/>
        </w:rPr>
        <w:t>第一节  强化就业政策引导效能</w:t>
      </w:r>
      <w:bookmarkEnd w:id="29"/>
      <w:bookmarkEnd w:id="30"/>
    </w:p>
    <w:p>
      <w:pPr>
        <w:keepLines w:val="0"/>
        <w:pageBreakBefore w:val="0"/>
        <w:kinsoku/>
        <w:wordWrap/>
        <w:overflowPunct/>
        <w:topLinePunct w:val="0"/>
        <w:autoSpaceDE/>
        <w:autoSpaceDN/>
        <w:bidi w:val="0"/>
        <w:adjustRightInd w:val="0"/>
        <w:snapToGrid w:val="0"/>
        <w:spacing w:line="560" w:lineRule="exact"/>
        <w:ind w:firstLine="643" w:firstLineChars="200"/>
        <w:rPr>
          <w:rFonts w:ascii="仿宋_GB2312" w:eastAsia="仿宋_GB2312" w:hAnsiTheme="minorEastAsia"/>
          <w:color w:val="auto"/>
          <w:sz w:val="32"/>
          <w:szCs w:val="32"/>
        </w:rPr>
      </w:pPr>
      <w:r>
        <w:rPr>
          <w:rFonts w:hint="eastAsia" w:ascii="仿宋_GB2312" w:eastAsia="仿宋_GB2312" w:hAnsiTheme="minorEastAsia"/>
          <w:b/>
          <w:sz w:val="32"/>
          <w:szCs w:val="32"/>
        </w:rPr>
        <w:t>突出就业优先目标导向。</w:t>
      </w:r>
      <w:r>
        <w:rPr>
          <w:rFonts w:hint="eastAsia" w:ascii="仿宋_GB2312" w:eastAsia="仿宋_GB2312" w:hAnsiTheme="minorEastAsia"/>
          <w:color w:val="auto"/>
          <w:sz w:val="32"/>
          <w:szCs w:val="32"/>
        </w:rPr>
        <w:t>完善就业优先政策体系，坚持把稳定和扩大就业作为经济社会发展的优先目标和经济运行合理区间的下限，将保</w:t>
      </w:r>
      <w:r>
        <w:rPr>
          <w:rFonts w:hint="eastAsia" w:ascii="仿宋_GB2312" w:eastAsia="仿宋_GB2312" w:hAnsiTheme="minorEastAsia"/>
          <w:color w:val="auto"/>
          <w:sz w:val="32"/>
          <w:szCs w:val="32"/>
          <w:lang w:eastAsia="zh-CN"/>
        </w:rPr>
        <w:t>群众</w:t>
      </w:r>
      <w:r>
        <w:rPr>
          <w:rFonts w:hint="eastAsia" w:ascii="仿宋_GB2312" w:eastAsia="仿宋_GB2312" w:hAnsiTheme="minorEastAsia"/>
          <w:color w:val="auto"/>
          <w:sz w:val="32"/>
          <w:szCs w:val="32"/>
        </w:rPr>
        <w:t>就业作为经济工作的底线，提升产业带动就业能力，扶持稳定市场主体增加就业岗位，促进实现更高质量和更充分就业。压实</w:t>
      </w:r>
      <w:r>
        <w:rPr>
          <w:rFonts w:hint="eastAsia" w:ascii="仿宋_GB2312" w:eastAsia="仿宋_GB2312" w:hAnsiTheme="minorEastAsia"/>
          <w:color w:val="auto"/>
          <w:sz w:val="32"/>
          <w:szCs w:val="32"/>
          <w:lang w:eastAsia="zh-CN"/>
        </w:rPr>
        <w:t>镇（街）</w:t>
      </w:r>
      <w:r>
        <w:rPr>
          <w:rFonts w:hint="eastAsia" w:ascii="仿宋_GB2312" w:eastAsia="仿宋_GB2312" w:hAnsiTheme="minorEastAsia"/>
          <w:color w:val="auto"/>
          <w:sz w:val="32"/>
          <w:szCs w:val="32"/>
        </w:rPr>
        <w:t>促就业主体责任和各职能部门工作责任，加强对就业工作统筹领导。建立健全常态化促进就业协同联动机制，形成工作合力。培育新的就业增长点。</w:t>
      </w:r>
    </w:p>
    <w:p>
      <w:pPr>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_GB2312" w:eastAsia="仿宋_GB2312" w:hAnsiTheme="minorEastAsia"/>
          <w:color w:val="auto"/>
          <w:sz w:val="32"/>
          <w:szCs w:val="32"/>
        </w:rPr>
      </w:pPr>
      <w:r>
        <w:rPr>
          <w:rFonts w:hint="eastAsia" w:ascii="仿宋_GB2312" w:eastAsia="仿宋_GB2312" w:hAnsiTheme="minorEastAsia"/>
          <w:b/>
          <w:color w:val="auto"/>
          <w:sz w:val="32"/>
          <w:szCs w:val="32"/>
        </w:rPr>
        <w:t>防范化解失业风险。</w:t>
      </w:r>
      <w:r>
        <w:rPr>
          <w:rFonts w:hint="eastAsia" w:ascii="仿宋_GB2312" w:eastAsia="仿宋_GB2312" w:hAnsiTheme="minorEastAsia"/>
          <w:color w:val="auto"/>
          <w:sz w:val="32"/>
          <w:szCs w:val="32"/>
        </w:rPr>
        <w:t>健全多部门就业形势会商研判机制，多维度开展就业失业风险研判。突出做好高校毕业生、异地务工人员、退役军人等重点群体就业工作，全力做好就业困难人员就业援助。提供全方位公共就业服务，及时为失业人员开展失业登记、失业保险发放、推荐就业等服务。畅通劳动关系信息传递渠道，妥善处置企业规模裁员，稳妥处置突发事件和群体性事件。切实防范规模性失业风险，守住风险防控底线。</w:t>
      </w: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hint="eastAsia" w:ascii="Cambria" w:hAnsi="Cambria" w:eastAsia="楷体_GB2312"/>
          <w:color w:val="auto"/>
          <w:sz w:val="34"/>
        </w:rPr>
      </w:pPr>
      <w:bookmarkStart w:id="31" w:name="_Toc31056"/>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hint="eastAsia" w:ascii="Cambria" w:hAnsi="Cambria" w:eastAsia="楷体_GB2312"/>
          <w:color w:val="auto"/>
          <w:sz w:val="34"/>
        </w:rPr>
      </w:pPr>
      <w:bookmarkStart w:id="32" w:name="_Toc3479"/>
      <w:r>
        <w:rPr>
          <w:rFonts w:hint="eastAsia" w:ascii="Cambria" w:hAnsi="Cambria" w:eastAsia="楷体_GB2312"/>
          <w:color w:val="auto"/>
          <w:sz w:val="34"/>
        </w:rPr>
        <w:t>第二节  促进创业带动就业</w:t>
      </w:r>
      <w:bookmarkEnd w:id="31"/>
      <w:bookmarkEnd w:id="32"/>
    </w:p>
    <w:p>
      <w:pPr>
        <w:keepLines w:val="0"/>
        <w:pageBreakBefore w:val="0"/>
        <w:kinsoku/>
        <w:wordWrap/>
        <w:overflowPunct/>
        <w:topLinePunct w:val="0"/>
        <w:autoSpaceDE/>
        <w:autoSpaceDN/>
        <w:bidi w:val="0"/>
        <w:adjustRightInd w:val="0"/>
        <w:snapToGrid w:val="0"/>
        <w:spacing w:line="560" w:lineRule="exact"/>
        <w:ind w:firstLine="643" w:firstLineChars="200"/>
        <w:rPr>
          <w:rFonts w:ascii="仿宋_GB2312" w:eastAsia="仿宋_GB2312" w:hAnsiTheme="minorEastAsia"/>
          <w:b/>
          <w:color w:val="auto"/>
          <w:sz w:val="32"/>
          <w:szCs w:val="32"/>
        </w:rPr>
      </w:pPr>
      <w:r>
        <w:rPr>
          <w:rFonts w:hint="eastAsia" w:ascii="仿宋_GB2312" w:eastAsia="仿宋_GB2312" w:hAnsiTheme="minorEastAsia"/>
          <w:b/>
          <w:color w:val="auto"/>
          <w:sz w:val="32"/>
          <w:szCs w:val="32"/>
        </w:rPr>
        <w:t>推动“双创”升级发展。</w:t>
      </w:r>
      <w:r>
        <w:rPr>
          <w:rFonts w:hint="eastAsia" w:ascii="仿宋_GB2312" w:eastAsia="仿宋_GB2312" w:hAnsiTheme="minorEastAsia"/>
          <w:color w:val="auto"/>
          <w:sz w:val="32"/>
          <w:szCs w:val="32"/>
        </w:rPr>
        <w:t>通过创业和再创业，推动传统产业转型升级，促进新技术与传统产业融合，让传统产业焕发新活力、释放新动能。加快新兴产业的创业载体培育，深入实施创新驱动和“互联网+”等发展战略，发展电子信息、高端装备等新兴产业的创业载体。促进成果顺畅转化，搭建创业成果转化平台，健全资源开放共享机制，鼓励高层次人才面向企业开展技术开发、技术咨询、技术培训等活动，实现人才创业、企业创新与产业升级深度融合。</w:t>
      </w:r>
    </w:p>
    <w:p>
      <w:pPr>
        <w:keepLines w:val="0"/>
        <w:pageBreakBefore w:val="0"/>
        <w:kinsoku/>
        <w:wordWrap/>
        <w:overflowPunct/>
        <w:topLinePunct w:val="0"/>
        <w:autoSpaceDE/>
        <w:autoSpaceDN/>
        <w:bidi w:val="0"/>
        <w:adjustRightInd w:val="0"/>
        <w:snapToGrid w:val="0"/>
        <w:spacing w:line="560" w:lineRule="exact"/>
        <w:ind w:firstLine="643" w:firstLineChars="200"/>
        <w:rPr>
          <w:rFonts w:ascii="仿宋_GB2312" w:eastAsia="仿宋_GB2312" w:hAnsiTheme="minorEastAsia"/>
          <w:b/>
          <w:color w:val="auto"/>
          <w:sz w:val="32"/>
          <w:szCs w:val="32"/>
        </w:rPr>
      </w:pPr>
      <w:r>
        <w:rPr>
          <w:rFonts w:hint="eastAsia" w:ascii="仿宋_GB2312" w:eastAsia="仿宋_GB2312" w:hAnsiTheme="minorEastAsia"/>
          <w:b/>
          <w:color w:val="auto"/>
          <w:sz w:val="32"/>
          <w:szCs w:val="32"/>
        </w:rPr>
        <w:t>进一步扩大创业扶持面。</w:t>
      </w:r>
      <w:r>
        <w:rPr>
          <w:rFonts w:hint="eastAsia" w:ascii="仿宋_GB2312" w:eastAsia="仿宋_GB2312" w:hAnsiTheme="minorEastAsia"/>
          <w:color w:val="auto"/>
          <w:sz w:val="32"/>
          <w:szCs w:val="32"/>
        </w:rPr>
        <w:t>不断提高大中专毕业生创业比例，全力推动城镇就业困难人员、大中专毕业生、农村富余劳动力创业促就业工作。建立和完善政府牵头，人社、市场监督管理、税务、银行、财政、教育、工商联、共青团、妇联等部门定期联系协调机制，进一步加强部门之间的配合，全面认真落实中央、省、市</w:t>
      </w:r>
      <w:r>
        <w:rPr>
          <w:rFonts w:hint="eastAsia" w:ascii="仿宋_GB2312" w:eastAsia="仿宋_GB2312" w:hAnsiTheme="minorEastAsia"/>
          <w:color w:val="auto"/>
          <w:sz w:val="32"/>
          <w:szCs w:val="32"/>
          <w:lang w:eastAsia="zh-CN"/>
        </w:rPr>
        <w:t>、区</w:t>
      </w:r>
      <w:r>
        <w:rPr>
          <w:rFonts w:hint="eastAsia" w:ascii="仿宋_GB2312" w:eastAsia="仿宋_GB2312" w:hAnsiTheme="minorEastAsia"/>
          <w:color w:val="auto"/>
          <w:sz w:val="32"/>
          <w:szCs w:val="32"/>
        </w:rPr>
        <w:t xml:space="preserve">制定的各项扶持和优惠政策。 </w:t>
      </w: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hint="eastAsia" w:ascii="Cambria" w:hAnsi="Cambria" w:eastAsia="楷体_GB2312"/>
          <w:color w:val="auto"/>
          <w:sz w:val="34"/>
        </w:rPr>
      </w:pPr>
      <w:bookmarkStart w:id="33" w:name="_Toc11650"/>
      <w:bookmarkStart w:id="34" w:name="_Toc5863"/>
      <w:r>
        <w:rPr>
          <w:rFonts w:hint="eastAsia" w:ascii="Cambria" w:hAnsi="Cambria" w:eastAsia="楷体_GB2312"/>
          <w:color w:val="auto"/>
          <w:sz w:val="34"/>
        </w:rPr>
        <w:t>第三节  完善重点群体就业支持体系</w:t>
      </w:r>
      <w:bookmarkEnd w:id="33"/>
      <w:bookmarkEnd w:id="34"/>
    </w:p>
    <w:p>
      <w:pPr>
        <w:keepLines w:val="0"/>
        <w:pageBreakBefore w:val="0"/>
        <w:kinsoku/>
        <w:wordWrap/>
        <w:overflowPunct/>
        <w:topLinePunct w:val="0"/>
        <w:autoSpaceDE/>
        <w:autoSpaceDN/>
        <w:bidi w:val="0"/>
        <w:adjustRightInd w:val="0"/>
        <w:snapToGrid w:val="0"/>
        <w:spacing w:line="560" w:lineRule="exact"/>
        <w:ind w:firstLine="643" w:firstLineChars="200"/>
        <w:rPr>
          <w:rFonts w:ascii="仿宋_GB2312" w:eastAsia="仿宋_GB2312" w:hAnsiTheme="minorEastAsia"/>
          <w:color w:val="auto"/>
          <w:sz w:val="32"/>
          <w:szCs w:val="32"/>
        </w:rPr>
      </w:pPr>
      <w:r>
        <w:rPr>
          <w:rFonts w:hint="eastAsia" w:ascii="仿宋_GB2312" w:eastAsia="仿宋_GB2312" w:hAnsiTheme="minorEastAsia"/>
          <w:b/>
          <w:color w:val="auto"/>
          <w:sz w:val="32"/>
          <w:szCs w:val="32"/>
        </w:rPr>
        <w:t>促进大中专毕业生就业创业。</w:t>
      </w:r>
      <w:r>
        <w:rPr>
          <w:rFonts w:hint="eastAsia" w:ascii="仿宋_GB2312" w:eastAsia="仿宋_GB2312" w:hAnsiTheme="minorEastAsia"/>
          <w:color w:val="auto"/>
          <w:sz w:val="32"/>
          <w:szCs w:val="32"/>
        </w:rPr>
        <w:t>将大中专毕业生就业作为重中之重，畅通毕业生到国有企业、民营企业、事业单位、基层岗位等就业渠道，健全就业指导、职业培训、就业见习等服务机制，鼓励支持多渠道就业创业。鼓励大中专毕业生到基层就业，组织实施好“三支一扶计划”(支教、支农、支医和帮扶乡村振兴</w:t>
      </w:r>
      <w:r>
        <w:rPr>
          <w:rFonts w:hint="eastAsia" w:ascii="仿宋_GB2312" w:eastAsia="仿宋_GB2312" w:hAnsiTheme="minorEastAsia"/>
          <w:color w:val="auto"/>
          <w:sz w:val="32"/>
          <w:szCs w:val="32"/>
        </w:rPr>
        <w:t>)和基层成长计划。引导毕业生到中小企业和非公有制单位就业，支持毕业生入伍投身国防建设，鼓励毕业生自主创业、灵活就业和跨地区就业等，促进毕业生充分就业。</w:t>
      </w:r>
    </w:p>
    <w:p>
      <w:pPr>
        <w:keepLines w:val="0"/>
        <w:pageBreakBefore w:val="0"/>
        <w:kinsoku/>
        <w:wordWrap/>
        <w:overflowPunct/>
        <w:topLinePunct w:val="0"/>
        <w:autoSpaceDE/>
        <w:autoSpaceDN/>
        <w:bidi w:val="0"/>
        <w:adjustRightInd w:val="0"/>
        <w:snapToGrid w:val="0"/>
        <w:spacing w:line="560" w:lineRule="exact"/>
        <w:ind w:firstLine="643" w:firstLineChars="200"/>
        <w:rPr>
          <w:rFonts w:ascii="仿宋_GB2312" w:eastAsia="仿宋_GB2312" w:hAnsiTheme="minorEastAsia"/>
          <w:color w:val="auto"/>
          <w:sz w:val="32"/>
          <w:szCs w:val="32"/>
        </w:rPr>
      </w:pPr>
      <w:r>
        <w:rPr>
          <w:rFonts w:hint="eastAsia" w:ascii="仿宋_GB2312" w:eastAsia="仿宋_GB2312" w:hAnsiTheme="minorEastAsia"/>
          <w:b/>
          <w:color w:val="auto"/>
          <w:sz w:val="32"/>
          <w:szCs w:val="32"/>
        </w:rPr>
        <w:t>促进异地务工人员稳定就业。</w:t>
      </w:r>
      <w:r>
        <w:rPr>
          <w:rFonts w:hint="eastAsia" w:ascii="仿宋_GB2312" w:eastAsia="仿宋_GB2312" w:hAnsiTheme="minorEastAsia"/>
          <w:color w:val="auto"/>
          <w:sz w:val="32"/>
          <w:szCs w:val="32"/>
        </w:rPr>
        <w:t>推动农村劳动力多渠道就业和多元化发展，持续推进</w:t>
      </w:r>
      <w:r>
        <w:rPr>
          <w:rFonts w:hint="eastAsia" w:ascii="仿宋_GB2312" w:eastAsia="仿宋_GB2312" w:hAnsiTheme="minorEastAsia"/>
          <w:color w:val="auto"/>
          <w:sz w:val="32"/>
          <w:szCs w:val="32"/>
          <w:lang w:eastAsia="zh-CN"/>
        </w:rPr>
        <w:t>农</w:t>
      </w:r>
      <w:bookmarkStart w:id="110" w:name="_GoBack"/>
      <w:bookmarkEnd w:id="110"/>
      <w:r>
        <w:rPr>
          <w:rFonts w:hint="eastAsia" w:ascii="仿宋_GB2312" w:eastAsia="仿宋_GB2312" w:hAnsiTheme="minorEastAsia"/>
          <w:color w:val="auto"/>
          <w:sz w:val="32"/>
          <w:szCs w:val="32"/>
          <w:lang w:eastAsia="zh-CN"/>
        </w:rPr>
        <w:t>村</w:t>
      </w:r>
      <w:r>
        <w:rPr>
          <w:rFonts w:hint="eastAsia" w:ascii="仿宋_GB2312" w:eastAsia="仿宋_GB2312" w:hAnsiTheme="minorEastAsia"/>
          <w:color w:val="auto"/>
          <w:sz w:val="32"/>
          <w:szCs w:val="32"/>
        </w:rPr>
        <w:t>富余劳动力进城务工、跨地区有序流动并稳定生活，落实</w:t>
      </w:r>
      <w:r>
        <w:rPr>
          <w:rFonts w:hint="eastAsia" w:ascii="仿宋_GB2312" w:eastAsia="仿宋_GB2312" w:hAnsiTheme="minorEastAsia"/>
          <w:color w:val="auto"/>
          <w:sz w:val="32"/>
          <w:szCs w:val="32"/>
          <w:lang w:eastAsia="zh-CN"/>
        </w:rPr>
        <w:t>农村</w:t>
      </w:r>
      <w:r>
        <w:rPr>
          <w:rFonts w:hint="eastAsia" w:ascii="仿宋_GB2312" w:eastAsia="仿宋_GB2312" w:hAnsiTheme="minorEastAsia"/>
          <w:color w:val="auto"/>
          <w:sz w:val="32"/>
          <w:szCs w:val="32"/>
        </w:rPr>
        <w:t>转移人口就业扶持政策，实施新生代农民工职业技能提升计划。</w:t>
      </w:r>
    </w:p>
    <w:p>
      <w:pPr>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_GB2312" w:eastAsia="仿宋_GB2312" w:hAnsiTheme="minorEastAsia"/>
          <w:color w:val="auto"/>
          <w:sz w:val="32"/>
          <w:szCs w:val="32"/>
        </w:rPr>
      </w:pPr>
      <w:r>
        <w:rPr>
          <w:rFonts w:hint="eastAsia" w:ascii="仿宋_GB2312" w:eastAsia="仿宋_GB2312" w:hAnsiTheme="minorEastAsia"/>
          <w:b/>
          <w:color w:val="auto"/>
          <w:sz w:val="32"/>
          <w:szCs w:val="32"/>
        </w:rPr>
        <w:t>帮扶困难人员就业。</w:t>
      </w:r>
      <w:r>
        <w:rPr>
          <w:rFonts w:hint="eastAsia" w:ascii="仿宋_GB2312" w:eastAsia="仿宋_GB2312" w:hAnsiTheme="minorEastAsia"/>
          <w:color w:val="auto"/>
          <w:sz w:val="32"/>
          <w:szCs w:val="32"/>
        </w:rPr>
        <w:t>动态合理确定就业困难人员范围，规范就业困难人员认定程序，精准识别就业援助对象，制定个性化援助计划。健全就业援助制度，组织开展专项就业服务活动。规范公益性岗位开发管理，加强公益性岗位托底安置，确保零就业家庭动态“清零”。加强转岗就业或失业的劳动者的精准就业服务，促进恢复就业。</w:t>
      </w: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hint="eastAsia" w:ascii="Cambria" w:hAnsi="Cambria" w:eastAsia="楷体_GB2312"/>
          <w:color w:val="auto"/>
          <w:sz w:val="34"/>
        </w:rPr>
      </w:pPr>
      <w:bookmarkStart w:id="35" w:name="_Toc20628"/>
      <w:bookmarkStart w:id="36" w:name="_Toc29163"/>
      <w:r>
        <w:rPr>
          <w:rFonts w:hint="eastAsia" w:ascii="Cambria" w:hAnsi="Cambria" w:eastAsia="楷体_GB2312"/>
          <w:color w:val="auto"/>
          <w:sz w:val="34"/>
        </w:rPr>
        <w:t>第四节  推进全方位公共就业服务</w:t>
      </w:r>
      <w:bookmarkEnd w:id="35"/>
      <w:bookmarkEnd w:id="36"/>
    </w:p>
    <w:p>
      <w:pPr>
        <w:keepLines w:val="0"/>
        <w:pageBreakBefore w:val="0"/>
        <w:kinsoku/>
        <w:wordWrap/>
        <w:overflowPunct/>
        <w:topLinePunct w:val="0"/>
        <w:autoSpaceDE/>
        <w:autoSpaceDN/>
        <w:bidi w:val="0"/>
        <w:adjustRightInd w:val="0"/>
        <w:snapToGrid w:val="0"/>
        <w:spacing w:line="560" w:lineRule="exact"/>
        <w:ind w:firstLine="643" w:firstLineChars="200"/>
        <w:rPr>
          <w:rFonts w:ascii="仿宋_GB2312" w:eastAsia="仿宋_GB2312" w:hAnsiTheme="minorEastAsia"/>
          <w:color w:val="auto"/>
          <w:sz w:val="32"/>
          <w:szCs w:val="32"/>
        </w:rPr>
      </w:pPr>
      <w:r>
        <w:rPr>
          <w:rFonts w:hint="eastAsia" w:ascii="仿宋_GB2312" w:eastAsia="仿宋_GB2312" w:hAnsiTheme="minorEastAsia"/>
          <w:b/>
          <w:color w:val="auto"/>
          <w:sz w:val="32"/>
          <w:szCs w:val="32"/>
        </w:rPr>
        <w:t>提升基本公共就业服务效能。</w:t>
      </w:r>
      <w:r>
        <w:rPr>
          <w:rFonts w:hint="eastAsia" w:ascii="仿宋_GB2312" w:eastAsia="仿宋_GB2312" w:hAnsiTheme="minorEastAsia"/>
          <w:color w:val="auto"/>
          <w:sz w:val="32"/>
          <w:szCs w:val="32"/>
        </w:rPr>
        <w:t>进一步规范公共就业服务事项、因地制宜分类分块制定服务项目清单，落实公共就业服务实名制、鼓励社会力量参与公共就业服务，丰富公共就业服务渠道、推动线下实体网点服务与线上互联网服务深度融合，优化经办窗口设置，设立自助服务区域、完善线下服务体验，提升农村地区公共就业服务能力，推进城镇公共就业服务向农村倾斜，城市优质资源向农村福射，保障农村地区基本公共就业服务需求。</w:t>
      </w:r>
    </w:p>
    <w:p>
      <w:pPr>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rPr>
        <w:t>完善人力资源市场服务功能。</w:t>
      </w:r>
      <w:r>
        <w:rPr>
          <w:rFonts w:hint="eastAsia" w:ascii="仿宋_GB2312" w:hAnsi="宋体" w:eastAsia="仿宋_GB2312"/>
          <w:color w:val="auto"/>
          <w:sz w:val="32"/>
          <w:szCs w:val="32"/>
          <w:highlight w:val="none"/>
        </w:rPr>
        <w:t>着力打造覆盖全民、贯穿全程、辐射全域、便捷高效的全方位公共就业服务体系，提升劳动力市场供需匹配效率。</w:t>
      </w:r>
      <w:r>
        <w:rPr>
          <w:rFonts w:hint="eastAsia" w:ascii="仿宋_GB2312" w:eastAsia="仿宋_GB2312" w:hAnsiTheme="minorEastAsia"/>
          <w:color w:val="auto"/>
          <w:sz w:val="32"/>
          <w:szCs w:val="32"/>
        </w:rPr>
        <w:t>建立完善全</w:t>
      </w:r>
      <w:r>
        <w:rPr>
          <w:rFonts w:hint="eastAsia" w:ascii="仿宋_GB2312" w:eastAsia="仿宋_GB2312" w:hAnsiTheme="minorEastAsia"/>
          <w:color w:val="auto"/>
          <w:sz w:val="32"/>
          <w:szCs w:val="32"/>
          <w:lang w:eastAsia="zh-CN"/>
        </w:rPr>
        <w:t>区</w:t>
      </w:r>
      <w:r>
        <w:rPr>
          <w:rFonts w:hint="eastAsia" w:ascii="仿宋_GB2312" w:eastAsia="仿宋_GB2312" w:hAnsiTheme="minorEastAsia"/>
          <w:color w:val="auto"/>
          <w:sz w:val="32"/>
          <w:szCs w:val="32"/>
        </w:rPr>
        <w:t>统一规范、功能齐全、服务配套的人力资源市场，提升服务能力，拓宽服务领域，充分发挥其快捷、高效的服务功能。</w:t>
      </w:r>
      <w:r>
        <w:rPr>
          <w:rFonts w:hint="eastAsia" w:ascii="仿宋_GB2312" w:eastAsia="仿宋_GB2312" w:hAnsiTheme="minorEastAsia"/>
          <w:color w:val="auto"/>
          <w:sz w:val="32"/>
          <w:szCs w:val="32"/>
          <w:lang w:eastAsia="zh-CN"/>
        </w:rPr>
        <w:t>推动人力资源服务业与相关产业融合发展，促进人力资源服务业更好地服务于就业创业、人才开发、产业发展、社会民生等领域。</w:t>
      </w:r>
    </w:p>
    <w:p>
      <w:pPr>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_GB2312" w:eastAsia="仿宋_GB2312" w:hAnsiTheme="minorEastAsia"/>
          <w:color w:val="auto"/>
          <w:sz w:val="32"/>
          <w:szCs w:val="32"/>
        </w:rPr>
      </w:pPr>
      <w:r>
        <w:rPr>
          <w:rFonts w:hint="eastAsia" w:ascii="仿宋_GB2312" w:eastAsia="仿宋_GB2312" w:hAnsiTheme="minorEastAsia"/>
          <w:b/>
          <w:color w:val="auto"/>
          <w:sz w:val="32"/>
          <w:szCs w:val="32"/>
        </w:rPr>
        <w:t>强化就业援助和就业服务指导。</w:t>
      </w:r>
      <w:r>
        <w:rPr>
          <w:rFonts w:hint="eastAsia" w:ascii="仿宋_GB2312" w:hAnsi="宋体" w:eastAsia="仿宋_GB2312"/>
          <w:color w:val="auto"/>
          <w:sz w:val="32"/>
          <w:szCs w:val="32"/>
          <w:highlight w:val="none"/>
        </w:rPr>
        <w:t>提供全方位公共就业服务，及时为失业人员开展失业登记、失业保险发放、推荐就业等服务。</w:t>
      </w:r>
      <w:r>
        <w:rPr>
          <w:rFonts w:hint="eastAsia" w:ascii="仿宋_GB2312" w:eastAsia="仿宋_GB2312" w:hAnsiTheme="minorEastAsia"/>
          <w:color w:val="auto"/>
          <w:sz w:val="32"/>
          <w:szCs w:val="32"/>
        </w:rPr>
        <w:t>通过举办现场招聘、网络招聘、校园招聘等方式，广搭就业平台，为以大中专毕业生为主的各类求职者提供充分交流洽谈机遇。积极拓展</w:t>
      </w:r>
      <w:r>
        <w:rPr>
          <w:rFonts w:hint="eastAsia" w:ascii="仿宋_GB2312" w:eastAsia="仿宋_GB2312" w:hAnsiTheme="minorEastAsia"/>
          <w:color w:val="auto"/>
          <w:sz w:val="32"/>
          <w:szCs w:val="32"/>
          <w:lang w:eastAsia="zh-CN"/>
        </w:rPr>
        <w:t>与区</w:t>
      </w:r>
      <w:r>
        <w:rPr>
          <w:rFonts w:hint="eastAsia" w:ascii="仿宋_GB2312" w:eastAsia="仿宋_GB2312" w:hAnsiTheme="minorEastAsia"/>
          <w:color w:val="auto"/>
          <w:sz w:val="32"/>
          <w:szCs w:val="32"/>
        </w:rPr>
        <w:t>外人才市场和用人单位的合作，努力实现毕业生供求信息的有效对接，拓宽毕业生向外输出的渠道。切实开展好以“送政策、送岗位、送服务、送温暖”为主题的就业援助活动，继续实施岗位补贴、社会保险补贴、职业培训补贴和职业介绍补贴政策，加强研究失业保险政策，切实发挥失业保险基金保障基本生活、促进企业保岗、稳岗和促进失业人员实现再就业的作用。</w:t>
      </w:r>
    </w:p>
    <w:p>
      <w:pPr>
        <w:pStyle w:val="2"/>
        <w:rPr>
          <w:rFonts w:hint="eastAsia" w:ascii="仿宋_GB2312" w:eastAsia="仿宋_GB2312" w:hAnsiTheme="minorEastAsia"/>
          <w:color w:val="auto"/>
          <w:sz w:val="32"/>
          <w:szCs w:val="32"/>
        </w:rPr>
      </w:pPr>
    </w:p>
    <w:p>
      <w:pPr>
        <w:rPr>
          <w:rFonts w:hint="eastAsia" w:ascii="仿宋_GB2312" w:eastAsia="仿宋_GB2312" w:hAnsiTheme="minorEastAsia"/>
          <w:color w:val="auto"/>
          <w:sz w:val="32"/>
          <w:szCs w:val="32"/>
        </w:rPr>
      </w:pPr>
    </w:p>
    <w:p>
      <w:pPr>
        <w:pStyle w:val="2"/>
        <w:rPr>
          <w:rFonts w:hint="eastAsia" w:ascii="仿宋_GB2312" w:eastAsia="仿宋_GB2312" w:hAnsiTheme="minorEastAsia"/>
          <w:color w:val="auto"/>
          <w:sz w:val="32"/>
          <w:szCs w:val="32"/>
        </w:rPr>
      </w:pPr>
    </w:p>
    <w:p>
      <w:pPr>
        <w:rPr>
          <w:rFonts w:hint="eastAsia" w:ascii="仿宋_GB2312" w:eastAsia="仿宋_GB2312" w:hAnsiTheme="minorEastAsia"/>
          <w:color w:val="auto"/>
          <w:sz w:val="32"/>
          <w:szCs w:val="32"/>
        </w:rPr>
      </w:pPr>
    </w:p>
    <w:p>
      <w:pPr>
        <w:pStyle w:val="2"/>
        <w:rPr>
          <w:rFonts w:hint="eastAsia" w:ascii="仿宋_GB2312" w:eastAsia="仿宋_GB2312" w:hAnsiTheme="minorEastAsia"/>
          <w:color w:val="auto"/>
          <w:sz w:val="32"/>
          <w:szCs w:val="32"/>
        </w:rPr>
      </w:pPr>
    </w:p>
    <w:p>
      <w:pPr>
        <w:rPr>
          <w:rFonts w:hint="eastAsia" w:ascii="仿宋_GB2312" w:eastAsia="仿宋_GB2312" w:hAnsiTheme="minorEastAsia"/>
          <w:color w:val="auto"/>
          <w:sz w:val="32"/>
          <w:szCs w:val="32"/>
        </w:rPr>
      </w:pPr>
    </w:p>
    <w:p>
      <w:pPr>
        <w:pStyle w:val="2"/>
        <w:rPr>
          <w:rFonts w:hint="eastAsia" w:ascii="仿宋_GB2312" w:eastAsia="仿宋_GB2312" w:hAnsiTheme="minorEastAsia"/>
          <w:color w:val="auto"/>
          <w:sz w:val="32"/>
          <w:szCs w:val="32"/>
        </w:rPr>
      </w:pPr>
    </w:p>
    <w:p>
      <w:pPr>
        <w:rPr>
          <w:rFonts w:hint="eastAsia" w:ascii="仿宋_GB2312" w:eastAsia="仿宋_GB2312" w:hAnsiTheme="minorEastAsia"/>
          <w:color w:val="auto"/>
          <w:sz w:val="32"/>
          <w:szCs w:val="32"/>
        </w:rPr>
      </w:pPr>
    </w:p>
    <w:p>
      <w:pPr>
        <w:pStyle w:val="2"/>
        <w:rPr>
          <w:rFonts w:hint="eastAsia" w:ascii="仿宋_GB2312" w:eastAsia="仿宋_GB2312" w:hAnsiTheme="minorEastAsia"/>
          <w:color w:val="auto"/>
          <w:sz w:val="32"/>
          <w:szCs w:val="32"/>
        </w:rPr>
      </w:pPr>
    </w:p>
    <w:p>
      <w:pPr>
        <w:rPr>
          <w:rFonts w:hint="eastAsia"/>
        </w:r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ascii="Calibri" w:hAnsi="Calibri" w:eastAsia="黑体"/>
          <w:color w:val="auto"/>
          <w:sz w:val="36"/>
          <w:szCs w:val="36"/>
          <w:lang w:val="en-US" w:eastAsia="zh-CN"/>
        </w:rPr>
      </w:pPr>
      <w:bookmarkStart w:id="37" w:name="_Toc12107"/>
      <w:bookmarkStart w:id="38" w:name="_Toc23398"/>
      <w:bookmarkStart w:id="39" w:name="_Toc10592"/>
      <w:r>
        <w:rPr>
          <w:rFonts w:hint="eastAsia" w:ascii="Calibri" w:hAnsi="Calibri" w:eastAsia="黑体"/>
          <w:color w:val="auto"/>
          <w:sz w:val="36"/>
          <w:szCs w:val="36"/>
          <w:lang w:val="en-US" w:eastAsia="zh-CN"/>
        </w:rPr>
        <w:t>第五章  建设全覆盖可持续的多层次社会保障体</w:t>
      </w:r>
      <w:bookmarkEnd w:id="37"/>
      <w:r>
        <w:rPr>
          <w:rFonts w:hint="eastAsia" w:ascii="Calibri" w:hAnsi="Calibri" w:eastAsia="黑体"/>
          <w:color w:val="auto"/>
          <w:sz w:val="36"/>
          <w:szCs w:val="36"/>
          <w:lang w:val="en-US" w:eastAsia="zh-CN"/>
        </w:rPr>
        <w:t>系</w:t>
      </w:r>
      <w:bookmarkEnd w:id="38"/>
      <w:bookmarkEnd w:id="39"/>
    </w:p>
    <w:p>
      <w:pPr>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eastAsia="仿宋_GB2312" w:hAnsiTheme="minorEastAsia"/>
          <w:b/>
          <w:color w:val="auto"/>
          <w:sz w:val="32"/>
          <w:szCs w:val="32"/>
        </w:rPr>
      </w:pPr>
      <w:bookmarkStart w:id="40" w:name="_Toc1139"/>
      <w:r>
        <w:rPr>
          <w:rFonts w:hint="eastAsia" w:ascii="仿宋_GB2312" w:eastAsia="仿宋_GB2312" w:hAnsiTheme="minorEastAsia"/>
          <w:color w:val="auto"/>
          <w:sz w:val="32"/>
          <w:szCs w:val="32"/>
        </w:rPr>
        <w:t>按照兜底线、织密网、建机制的要求，进一步深化养老、工伤、失业保险制度改革，推动建成覆盖全民、城乡统筹、权责清晰、保障适度、可持续的多层次社会保障体系，为经济社会发展提供水平适度、持续稳定的社会保障网。</w:t>
      </w: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hint="eastAsia" w:ascii="Cambria" w:hAnsi="Cambria" w:eastAsia="楷体_GB2312"/>
          <w:color w:val="auto"/>
          <w:sz w:val="34"/>
        </w:rPr>
      </w:pPr>
      <w:bookmarkStart w:id="41" w:name="_Toc1489"/>
      <w:bookmarkStart w:id="42" w:name="_Toc24930"/>
      <w:r>
        <w:rPr>
          <w:rFonts w:hint="eastAsia" w:ascii="Cambria" w:hAnsi="Cambria" w:eastAsia="楷体_GB2312"/>
          <w:color w:val="auto"/>
          <w:sz w:val="34"/>
        </w:rPr>
        <w:t>第一节  促进全民享有社会保障</w:t>
      </w:r>
      <w:bookmarkEnd w:id="41"/>
      <w:bookmarkEnd w:id="42"/>
    </w:p>
    <w:p>
      <w:pPr>
        <w:keepLines w:val="0"/>
        <w:pageBreakBefore w:val="0"/>
        <w:kinsoku/>
        <w:wordWrap/>
        <w:overflowPunct/>
        <w:topLinePunct w:val="0"/>
        <w:autoSpaceDE/>
        <w:autoSpaceDN/>
        <w:bidi w:val="0"/>
        <w:adjustRightInd w:val="0"/>
        <w:snapToGrid w:val="0"/>
        <w:spacing w:line="560" w:lineRule="exact"/>
        <w:ind w:firstLine="643" w:firstLineChars="200"/>
        <w:jc w:val="left"/>
        <w:rPr>
          <w:rFonts w:hint="eastAsia" w:ascii="仿宋_GB2312" w:eastAsia="仿宋_GB2312" w:hAnsiTheme="minorEastAsia"/>
          <w:b w:val="0"/>
          <w:bCs/>
          <w:color w:val="auto"/>
          <w:sz w:val="32"/>
          <w:szCs w:val="32"/>
        </w:rPr>
      </w:pPr>
      <w:r>
        <w:rPr>
          <w:rFonts w:hint="eastAsia" w:ascii="仿宋_GB2312" w:eastAsia="仿宋_GB2312" w:hAnsiTheme="minorEastAsia"/>
          <w:b/>
          <w:bCs w:val="0"/>
          <w:color w:val="auto"/>
          <w:sz w:val="32"/>
          <w:szCs w:val="32"/>
        </w:rPr>
        <w:t>全面实施全民参保计划。</w:t>
      </w:r>
      <w:r>
        <w:rPr>
          <w:rFonts w:hint="eastAsia" w:ascii="仿宋_GB2312" w:eastAsia="仿宋_GB2312" w:hAnsiTheme="minorEastAsia"/>
          <w:b w:val="0"/>
          <w:bCs/>
          <w:color w:val="auto"/>
          <w:sz w:val="32"/>
          <w:szCs w:val="32"/>
        </w:rPr>
        <w:t>完善政策措施，创新工作机制，强化经办服务，全面推动全民参保计划实施，深入推进社会保险扩面征缴。压紧压实各镇</w:t>
      </w:r>
      <w:r>
        <w:rPr>
          <w:rFonts w:hint="eastAsia" w:ascii="仿宋_GB2312" w:eastAsia="仿宋_GB2312" w:hAnsiTheme="minorEastAsia"/>
          <w:b w:val="0"/>
          <w:bCs/>
          <w:color w:val="auto"/>
          <w:sz w:val="32"/>
          <w:szCs w:val="32"/>
          <w:lang w:eastAsia="zh-CN"/>
        </w:rPr>
        <w:t>（</w:t>
      </w:r>
      <w:r>
        <w:rPr>
          <w:rFonts w:hint="eastAsia" w:ascii="仿宋_GB2312" w:eastAsia="仿宋_GB2312" w:hAnsiTheme="minorEastAsia"/>
          <w:b w:val="0"/>
          <w:bCs/>
          <w:color w:val="auto"/>
          <w:sz w:val="32"/>
          <w:szCs w:val="32"/>
        </w:rPr>
        <w:t>街道</w:t>
      </w:r>
      <w:r>
        <w:rPr>
          <w:rFonts w:hint="eastAsia" w:ascii="仿宋_GB2312" w:eastAsia="仿宋_GB2312" w:hAnsiTheme="minorEastAsia"/>
          <w:b w:val="0"/>
          <w:bCs/>
          <w:color w:val="auto"/>
          <w:sz w:val="32"/>
          <w:szCs w:val="32"/>
          <w:lang w:eastAsia="zh-CN"/>
        </w:rPr>
        <w:t>）</w:t>
      </w:r>
      <w:r>
        <w:rPr>
          <w:rFonts w:hint="eastAsia" w:ascii="仿宋_GB2312" w:eastAsia="仿宋_GB2312" w:hAnsiTheme="minorEastAsia"/>
          <w:b w:val="0"/>
          <w:bCs/>
          <w:color w:val="auto"/>
          <w:sz w:val="32"/>
          <w:szCs w:val="32"/>
        </w:rPr>
        <w:t>扩面征缴主体责任，充分调动群众参保缴费积极性，促进实现城镇职工基本养老保险由制度全覆盖到实际人群全覆盖，城乡居民基本养老保险适龄参保人员实现应保尽保，加强失业保险、工伤保险参保扩面工作。持续推进企业养老、城乡居民养老、工伤保险扩面征缴，以用人单位应保尽保为目标，以未参保和参保率低的企业为突破口，重点推进非公有制企业职工参保率，提高灵活就业人员、新就业形态从业人员等群体参保的便利度，鼓励其参加企业职工基本养老保险。</w:t>
      </w:r>
    </w:p>
    <w:p>
      <w:pPr>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_GB2312" w:eastAsia="仿宋_GB2312" w:hAnsiTheme="minorEastAsia"/>
          <w:color w:val="auto"/>
          <w:sz w:val="32"/>
          <w:szCs w:val="32"/>
        </w:rPr>
      </w:pPr>
      <w:r>
        <w:rPr>
          <w:rFonts w:hint="eastAsia" w:ascii="仿宋_GB2312" w:eastAsia="仿宋_GB2312" w:hAnsiTheme="minorEastAsia"/>
          <w:b/>
          <w:color w:val="auto"/>
          <w:sz w:val="32"/>
          <w:szCs w:val="32"/>
          <w:highlight w:val="none"/>
          <w:shd w:val="clear" w:color="auto" w:fill="auto"/>
        </w:rPr>
        <w:t>扩大社会保险参保续保。</w:t>
      </w:r>
      <w:r>
        <w:rPr>
          <w:rFonts w:hint="eastAsia" w:ascii="仿宋_GB2312" w:eastAsia="仿宋_GB2312" w:hAnsiTheme="minorEastAsia"/>
          <w:sz w:val="32"/>
          <w:szCs w:val="32"/>
        </w:rPr>
        <w:t>建立全民参保登记动态清零机制，动态精准锁定未参保人员和中断缴费人员。健全灵活就业人员参加企业职工养老保险制度，探索灵活就业人员参加失业保险制度，建立新业态从业人员职业伤害保障制度。推动进城落户农民完全纳入城镇社会保障体系。完善公路、铁路及建筑施工等高风险行业按项目参加工伤保险的长效机制，实现高风险行业从业人员工伤保险保障全覆盖。完善社会保障待遇水平与缴费相挂钩的参保缴费激励约束机制，全面实施阶段性下调费率、减免社保费等政策，完善缓缴、延缴等参保缴费机制，保持企业社会保险缴费成本预期稳定，支持实体经济发展</w:t>
      </w:r>
      <w:r>
        <w:rPr>
          <w:rFonts w:hint="eastAsia" w:ascii="仿宋_GB2312" w:eastAsia="仿宋_GB2312" w:hAnsiTheme="minorEastAsia"/>
          <w:color w:val="auto"/>
          <w:sz w:val="32"/>
          <w:szCs w:val="32"/>
        </w:rPr>
        <w:t>。完善被征地农民养老保障政策，落实被征地农民参保。完善对</w:t>
      </w:r>
      <w:r>
        <w:rPr>
          <w:rFonts w:hint="eastAsia" w:ascii="仿宋_GB2312" w:eastAsia="仿宋_GB2312" w:hAnsiTheme="minorEastAsia"/>
          <w:sz w:val="32"/>
          <w:szCs w:val="32"/>
        </w:rPr>
        <w:t>建档</w:t>
      </w:r>
      <w:r>
        <w:rPr>
          <w:rFonts w:hint="eastAsia" w:ascii="仿宋_GB2312" w:eastAsia="仿宋_GB2312" w:hAnsiTheme="minorEastAsia"/>
          <w:color w:val="auto"/>
          <w:sz w:val="32"/>
          <w:szCs w:val="32"/>
        </w:rPr>
        <w:t>立卡贫困人员、低保对象、重度残疾人等困难群体的代缴、缴费资助等政策。</w:t>
      </w:r>
    </w:p>
    <w:p>
      <w:pPr>
        <w:pStyle w:val="12"/>
        <w:rPr>
          <w:rFonts w:hint="eastAsia"/>
        </w:rPr>
      </w:pP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hint="eastAsia" w:ascii="Cambria" w:hAnsi="Cambria" w:eastAsia="楷体_GB2312"/>
          <w:color w:val="auto"/>
          <w:sz w:val="34"/>
        </w:rPr>
      </w:pPr>
      <w:bookmarkStart w:id="43" w:name="_Toc6383"/>
      <w:bookmarkStart w:id="44" w:name="_Toc3738"/>
      <w:r>
        <w:rPr>
          <w:rFonts w:hint="eastAsia" w:ascii="Cambria" w:hAnsi="Cambria" w:eastAsia="楷体_GB2312"/>
          <w:color w:val="auto"/>
          <w:sz w:val="34"/>
        </w:rPr>
        <w:t>第二节  完善社会保障制度体系</w:t>
      </w:r>
      <w:bookmarkEnd w:id="43"/>
    </w:p>
    <w:p>
      <w:pPr>
        <w:pStyle w:val="12"/>
        <w:keepLines w:val="0"/>
        <w:pageBreakBefore w:val="0"/>
        <w:kinsoku/>
        <w:wordWrap/>
        <w:overflowPunct/>
        <w:topLinePunct w:val="0"/>
        <w:autoSpaceDE/>
        <w:autoSpaceDN/>
        <w:bidi w:val="0"/>
        <w:spacing w:line="560" w:lineRule="exact"/>
        <w:ind w:firstLine="683"/>
        <w:rPr>
          <w:rFonts w:hint="eastAsia" w:ascii="仿宋_GB2312" w:eastAsia="仿宋_GB2312" w:hAnsiTheme="minorEastAsia"/>
          <w:color w:val="auto"/>
          <w:sz w:val="32"/>
          <w:szCs w:val="32"/>
        </w:rPr>
      </w:pPr>
      <w:r>
        <w:rPr>
          <w:rFonts w:hint="eastAsia" w:ascii="Cambria" w:hAnsi="Cambria" w:eastAsia="楷体_GB2312" w:cs="Times New Roman"/>
          <w:b/>
          <w:color w:val="auto"/>
          <w:sz w:val="34"/>
          <w:szCs w:val="32"/>
        </w:rPr>
        <w:t>巩固提升社保统筹层次。</w:t>
      </w:r>
      <w:r>
        <w:rPr>
          <w:rFonts w:hint="eastAsia" w:ascii="仿宋_GB2312" w:eastAsia="仿宋_GB2312" w:hAnsiTheme="minorEastAsia"/>
          <w:color w:val="auto"/>
          <w:sz w:val="32"/>
          <w:szCs w:val="32"/>
        </w:rPr>
        <w:t>落实企业职工基本养老保险省级统筹配套政策，配合省市做好与全国统筹有序对接。逐步提高机关事业单位养老保险统筹层次。按照省市的部署，推进城乡居民基本养老保险基金省级管理。配合做好失业保险省级统筹</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增强区域间社保发展协调性和整体性，构建更加公平、更可持续的社保制度。</w:t>
      </w:r>
    </w:p>
    <w:p>
      <w:pPr>
        <w:pStyle w:val="12"/>
        <w:keepLines w:val="0"/>
        <w:pageBreakBefore w:val="0"/>
        <w:kinsoku/>
        <w:wordWrap/>
        <w:overflowPunct/>
        <w:topLinePunct w:val="0"/>
        <w:autoSpaceDE/>
        <w:autoSpaceDN/>
        <w:bidi w:val="0"/>
        <w:spacing w:line="560" w:lineRule="exact"/>
        <w:ind w:firstLine="643"/>
        <w:rPr>
          <w:rFonts w:hint="eastAsia" w:ascii="Cambria" w:hAnsi="Cambria" w:eastAsia="楷体_GB2312" w:cs="Times New Roman"/>
          <w:b/>
          <w:color w:val="auto"/>
          <w:sz w:val="34"/>
          <w:szCs w:val="32"/>
        </w:rPr>
      </w:pPr>
      <w:r>
        <w:rPr>
          <w:rFonts w:hint="eastAsia" w:ascii="仿宋_GB2312" w:eastAsia="仿宋_GB2312" w:hAnsiTheme="minorEastAsia"/>
          <w:b/>
          <w:color w:val="auto"/>
          <w:sz w:val="32"/>
          <w:szCs w:val="32"/>
        </w:rPr>
        <w:t>构建多层次养老保险体系。</w:t>
      </w:r>
      <w:r>
        <w:rPr>
          <w:rFonts w:hint="eastAsia" w:ascii="仿宋_GB2312" w:eastAsia="仿宋_GB2312" w:hAnsiTheme="minorEastAsia"/>
          <w:color w:val="auto"/>
          <w:sz w:val="32"/>
          <w:szCs w:val="32"/>
        </w:rPr>
        <w:t>按照省的部署，逐步向全省企业职工基本养老保险单位缴费比例和缴费工资基数下限统一。按照国家和省</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市的部署，实施渐进式延迟法定退休年龄。健全多层次养老保险体系，完善企业年金制度，扩大企业年金覆盖面。推动机关事业单位为编外人员建立企业年金。巩固和推进职业年金基金实账积累，积极稳妥全面做实职业年金账户。落实丧葬补助金、职工遗属待遇政策。完善城乡居民基本养老保险制度，适时</w:t>
      </w:r>
      <w:r>
        <w:rPr>
          <w:rFonts w:hint="eastAsia" w:ascii="仿宋_GB2312" w:eastAsia="仿宋_GB2312" w:hAnsiTheme="minorEastAsia"/>
          <w:color w:val="auto"/>
          <w:sz w:val="32"/>
          <w:szCs w:val="32"/>
          <w:lang w:eastAsia="zh-CN"/>
        </w:rPr>
        <w:t>按规定</w:t>
      </w:r>
      <w:r>
        <w:rPr>
          <w:rFonts w:hint="eastAsia" w:ascii="仿宋_GB2312" w:eastAsia="仿宋_GB2312" w:hAnsiTheme="minorEastAsia"/>
          <w:color w:val="auto"/>
          <w:sz w:val="32"/>
          <w:szCs w:val="32"/>
        </w:rPr>
        <w:t>提高最低缴费档次标准，进一步完善被征地农民社会保障政策。加强城乡居民基本养老保险与社会救助、社会福利等其他社会保障制度的配套衔接。</w:t>
      </w:r>
    </w:p>
    <w:p>
      <w:pPr>
        <w:keepLines w:val="0"/>
        <w:pageBreakBefore w:val="0"/>
        <w:kinsoku/>
        <w:wordWrap/>
        <w:overflowPunct/>
        <w:topLinePunct w:val="0"/>
        <w:autoSpaceDE/>
        <w:autoSpaceDN/>
        <w:bidi w:val="0"/>
        <w:spacing w:line="560" w:lineRule="exact"/>
        <w:ind w:firstLine="643" w:firstLineChars="200"/>
        <w:rPr>
          <w:rFonts w:hint="eastAsia" w:ascii="仿宋_GB2312" w:eastAsia="仿宋_GB2312" w:hAnsiTheme="minorEastAsia"/>
          <w:color w:val="auto"/>
          <w:sz w:val="32"/>
          <w:szCs w:val="32"/>
        </w:rPr>
      </w:pPr>
      <w:r>
        <w:rPr>
          <w:rFonts w:hint="eastAsia" w:ascii="仿宋_GB2312" w:eastAsia="仿宋_GB2312" w:hAnsiTheme="minorEastAsia"/>
          <w:b/>
          <w:color w:val="auto"/>
          <w:sz w:val="32"/>
          <w:szCs w:val="32"/>
        </w:rPr>
        <w:t>完善失业保险制度。</w:t>
      </w:r>
      <w:r>
        <w:rPr>
          <w:rFonts w:hint="eastAsia" w:ascii="仿宋_GB2312" w:eastAsia="仿宋_GB2312" w:hAnsiTheme="minorEastAsia"/>
          <w:color w:val="auto"/>
          <w:sz w:val="32"/>
          <w:szCs w:val="32"/>
        </w:rPr>
        <w:t>扩大失业保险保障范围，完善失业保险金等待遇申领发放政策。按国家</w:t>
      </w:r>
      <w:r>
        <w:rPr>
          <w:rFonts w:hint="eastAsia" w:ascii="仿宋_GB2312" w:eastAsia="仿宋_GB2312" w:hAnsiTheme="minorEastAsia"/>
          <w:color w:val="auto"/>
          <w:sz w:val="32"/>
          <w:szCs w:val="32"/>
          <w:lang w:eastAsia="zh-CN"/>
        </w:rPr>
        <w:t>和</w:t>
      </w:r>
      <w:r>
        <w:rPr>
          <w:rFonts w:hint="eastAsia" w:ascii="仿宋_GB2312" w:eastAsia="仿宋_GB2312" w:hAnsiTheme="minorEastAsia"/>
          <w:color w:val="auto"/>
          <w:sz w:val="32"/>
          <w:szCs w:val="32"/>
        </w:rPr>
        <w:t>省</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市规定扩大失业保险基金支出范围。积极探索灵活就业人员参加失业保险新模式。完善失业保险技能提升补贴政策。充分发挥失业保险保生活、防失业、促就业功能，推动失业保险从基本生活保障向职业技能提升扩展、从事后帮扶就业向事前预防失业拓展、从失业人员向所有参保职工和企业拓展。</w:t>
      </w:r>
    </w:p>
    <w:p>
      <w:pPr>
        <w:keepLines w:val="0"/>
        <w:pageBreakBefore w:val="0"/>
        <w:kinsoku/>
        <w:wordWrap/>
        <w:overflowPunct/>
        <w:topLinePunct w:val="0"/>
        <w:autoSpaceDE/>
        <w:autoSpaceDN/>
        <w:bidi w:val="0"/>
        <w:spacing w:line="560" w:lineRule="exact"/>
        <w:ind w:firstLine="643" w:firstLineChars="200"/>
        <w:rPr>
          <w:rFonts w:hint="eastAsia" w:ascii="仿宋_GB2312" w:eastAsia="仿宋_GB2312" w:hAnsiTheme="minorEastAsia"/>
          <w:color w:val="auto"/>
          <w:sz w:val="32"/>
          <w:szCs w:val="32"/>
        </w:rPr>
      </w:pPr>
      <w:r>
        <w:rPr>
          <w:rFonts w:hint="eastAsia" w:ascii="仿宋_GB2312" w:eastAsia="仿宋_GB2312" w:hAnsiTheme="minorEastAsia"/>
          <w:b/>
          <w:color w:val="auto"/>
          <w:sz w:val="32"/>
          <w:szCs w:val="32"/>
        </w:rPr>
        <w:t>完善工伤保险制度</w:t>
      </w:r>
      <w:r>
        <w:rPr>
          <w:rFonts w:hint="eastAsia" w:ascii="仿宋_GB2312" w:eastAsia="仿宋_GB2312" w:hAnsiTheme="minorEastAsia"/>
          <w:color w:val="auto"/>
          <w:sz w:val="32"/>
          <w:szCs w:val="32"/>
        </w:rPr>
        <w:t>。健全工伤保险浮动费率机制，实现工伤保险费率标准平稳过渡。构建多层次工伤保障制度体系，探索建立补充工伤保险制度。实施非劳动关系特定人员参加工伤保险办法。完善工伤预防、补偿、康复“三位一体”制度，实施工伤预防五年行动计划，探索预防项目绩效评价办法，促进伤后补偿向伤前预防倾斜。健全“早期介入”和“先康复后评残”工伤康复机制。</w:t>
      </w:r>
    </w:p>
    <w:p>
      <w:pPr>
        <w:pStyle w:val="7"/>
        <w:spacing w:after="0" w:line="360" w:lineRule="auto"/>
        <w:rPr>
          <w:rFonts w:hint="eastAsia" w:ascii="Cambria" w:hAnsi="Cambria" w:eastAsia="楷体_GB2312" w:cs="Times New Roman"/>
          <w:b/>
          <w:color w:val="auto"/>
          <w:sz w:val="34"/>
          <w:szCs w:val="32"/>
        </w:rPr>
      </w:pPr>
      <w:r>
        <w:rPr>
          <w:rFonts w:hint="eastAsia" w:ascii="仿宋_GB2312" w:eastAsia="仿宋_GB2312" w:hAnsiTheme="minorEastAsia"/>
          <w:color w:val="auto"/>
          <w:sz w:val="32"/>
          <w:szCs w:val="32"/>
          <w:lang w:val="en-US" w:eastAsia="zh-CN"/>
        </w:rPr>
        <w:t xml:space="preserve"> </w:t>
      </w:r>
      <w:r>
        <w:rPr>
          <w:rFonts w:hint="eastAsia" w:ascii="仿宋_GB2312" w:hAnsiTheme="minorEastAsia"/>
          <w:color w:val="auto"/>
          <w:sz w:val="32"/>
          <w:szCs w:val="32"/>
          <w:lang w:val="en-US" w:eastAsia="zh-CN"/>
        </w:rPr>
        <w:t xml:space="preserve">   </w:t>
      </w:r>
      <w:r>
        <w:rPr>
          <w:rFonts w:hint="eastAsia" w:ascii="仿宋_GB2312" w:hAnsi="宋体" w:eastAsia="仿宋_GB2312"/>
          <w:b/>
          <w:bCs/>
          <w:color w:val="auto"/>
          <w:sz w:val="32"/>
          <w:szCs w:val="32"/>
          <w:highlight w:val="none"/>
        </w:rPr>
        <w:t>加强社会保险基金监管。</w:t>
      </w:r>
      <w:r>
        <w:rPr>
          <w:rFonts w:hint="eastAsia" w:ascii="仿宋_GB2312" w:hAnsi="宋体" w:eastAsia="仿宋_GB2312"/>
          <w:color w:val="auto"/>
          <w:sz w:val="32"/>
          <w:szCs w:val="32"/>
          <w:highlight w:val="none"/>
        </w:rPr>
        <w:t>健全政策、经办、信息、监督“四位一体”的基金管理风险防控体系。推进专业化基金监督队伍建设，提升监管能力。建立健全欺诈骗保行为举报奖励制度，鼓励公众参与基金监督。健全社保领域严重失信人名单管理制度，严格执行社保领域守信联合激励和失信联合惩戒措施，加强社保严重失信黑名单认定和管理。</w:t>
      </w: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hint="eastAsia" w:ascii="仿宋_GB2312" w:eastAsia="仿宋_GB2312" w:hAnsiTheme="minorEastAsia"/>
          <w:b/>
          <w:color w:val="auto"/>
          <w:sz w:val="32"/>
          <w:szCs w:val="32"/>
        </w:rPr>
      </w:pPr>
      <w:bookmarkStart w:id="45" w:name="_Toc9085"/>
      <w:r>
        <w:rPr>
          <w:rFonts w:hint="eastAsia" w:ascii="Cambria" w:hAnsi="Cambria" w:eastAsia="楷体_GB2312"/>
          <w:color w:val="auto"/>
          <w:sz w:val="34"/>
        </w:rPr>
        <w:t>第三节  完善社会保障待遇调整机制</w:t>
      </w:r>
      <w:bookmarkEnd w:id="45"/>
    </w:p>
    <w:p>
      <w:pPr>
        <w:keepLines w:val="0"/>
        <w:pageBreakBefore w:val="0"/>
        <w:kinsoku/>
        <w:wordWrap/>
        <w:overflowPunct/>
        <w:topLinePunct w:val="0"/>
        <w:autoSpaceDE/>
        <w:autoSpaceDN/>
        <w:bidi w:val="0"/>
        <w:adjustRightInd w:val="0"/>
        <w:snapToGrid w:val="0"/>
        <w:spacing w:line="560" w:lineRule="exact"/>
        <w:ind w:firstLine="643" w:firstLineChars="200"/>
        <w:rPr>
          <w:rFonts w:ascii="仿宋_GB2312" w:eastAsia="仿宋_GB2312" w:hAnsiTheme="minorEastAsia"/>
          <w:color w:val="0000FF"/>
          <w:sz w:val="32"/>
          <w:szCs w:val="32"/>
        </w:rPr>
      </w:pPr>
      <w:r>
        <w:rPr>
          <w:rFonts w:hint="eastAsia" w:ascii="仿宋_GB2312" w:eastAsia="仿宋_GB2312" w:hAnsiTheme="minorEastAsia"/>
          <w:b/>
          <w:color w:val="auto"/>
          <w:sz w:val="32"/>
          <w:szCs w:val="32"/>
        </w:rPr>
        <w:t>稳步提高社会保障水平。</w:t>
      </w:r>
      <w:r>
        <w:rPr>
          <w:rFonts w:hint="eastAsia" w:ascii="仿宋_GB2312" w:eastAsia="仿宋_GB2312" w:hAnsiTheme="minorEastAsia"/>
          <w:color w:val="auto"/>
          <w:sz w:val="32"/>
          <w:szCs w:val="32"/>
        </w:rPr>
        <w:t>完善企业职工基本</w:t>
      </w:r>
      <w:r>
        <w:rPr>
          <w:rFonts w:hint="eastAsia" w:ascii="仿宋_GB2312" w:eastAsia="仿宋_GB2312" w:hAnsiTheme="minorEastAsia"/>
          <w:sz w:val="32"/>
          <w:szCs w:val="32"/>
        </w:rPr>
        <w:t>养老保险</w:t>
      </w:r>
      <w:r>
        <w:rPr>
          <w:rFonts w:hint="eastAsia" w:ascii="仿宋_GB2312" w:eastAsia="仿宋_GB2312" w:hAnsiTheme="minorEastAsia"/>
          <w:color w:val="auto"/>
          <w:sz w:val="32"/>
          <w:szCs w:val="32"/>
        </w:rPr>
        <w:t>省</w:t>
      </w:r>
      <w:r>
        <w:rPr>
          <w:rFonts w:hint="eastAsia" w:ascii="仿宋_GB2312" w:eastAsia="仿宋_GB2312" w:hAnsiTheme="minorEastAsia"/>
          <w:sz w:val="32"/>
          <w:szCs w:val="32"/>
        </w:rPr>
        <w:t>级统筹配套政策，严格落实广东省推进企业职工基本养老保险全国统筹各项部署，推动市级统筹与全省统筹有序对接。根据国家、省和市的安排适时提高企业退休人员养老金水平，落实随工资增长、物价上涨等因素调整退休人员基本养老金待遇和失业、工伤待遇的政策机制。稳步提高城乡居民养老保险基础养老金待遇水平。完善工伤保险职业康复标准，提高工伤职工重返就业岗位比例。</w:t>
      </w:r>
    </w:p>
    <w:p>
      <w:pPr>
        <w:keepLines w:val="0"/>
        <w:pageBreakBefore w:val="0"/>
        <w:kinsoku/>
        <w:wordWrap/>
        <w:overflowPunct/>
        <w:topLinePunct w:val="0"/>
        <w:autoSpaceDE/>
        <w:autoSpaceDN/>
        <w:bidi w:val="0"/>
        <w:adjustRightInd w:val="0"/>
        <w:snapToGrid w:val="0"/>
        <w:spacing w:line="560" w:lineRule="exact"/>
        <w:ind w:firstLine="643" w:firstLineChars="200"/>
        <w:jc w:val="left"/>
        <w:rPr>
          <w:rFonts w:hint="eastAsia" w:ascii="仿宋_GB2312" w:eastAsia="仿宋_GB2312" w:hAnsiTheme="minorEastAsia"/>
          <w:sz w:val="32"/>
          <w:szCs w:val="32"/>
        </w:rPr>
      </w:pPr>
      <w:r>
        <w:rPr>
          <w:rFonts w:hint="eastAsia" w:ascii="仿宋_GB2312" w:eastAsia="仿宋_GB2312" w:hAnsiTheme="minorEastAsia"/>
          <w:b/>
          <w:sz w:val="32"/>
          <w:szCs w:val="32"/>
        </w:rPr>
        <w:t>健全社保待遇确定和调整机制。</w:t>
      </w:r>
      <w:r>
        <w:rPr>
          <w:rFonts w:hint="eastAsia" w:ascii="仿宋_GB2312" w:eastAsia="仿宋_GB2312" w:hAnsiTheme="minorEastAsia"/>
          <w:sz w:val="32"/>
          <w:szCs w:val="32"/>
        </w:rPr>
        <w:t>坚持尽力而为、量力而行，促进社保待遇水平与</w:t>
      </w:r>
      <w:r>
        <w:rPr>
          <w:rFonts w:hint="eastAsia" w:ascii="仿宋_GB2312" w:eastAsia="仿宋_GB2312" w:hAnsiTheme="minorEastAsia"/>
          <w:sz w:val="32"/>
          <w:szCs w:val="32"/>
          <w:lang w:eastAsia="zh-CN"/>
        </w:rPr>
        <w:t>当地</w:t>
      </w:r>
      <w:r>
        <w:rPr>
          <w:rFonts w:hint="eastAsia" w:ascii="仿宋_GB2312" w:eastAsia="仿宋_GB2312" w:hAnsiTheme="minorEastAsia"/>
          <w:sz w:val="32"/>
          <w:szCs w:val="32"/>
        </w:rPr>
        <w:t>经济发展水平相适应，确保各项社保待遇按时足额发放。统筹安排机关事业单位和企业退休人员的基本养老金调整，逐步建立兼顾各类人员的养老保险待遇正常调整机制。制定和完善城乡社会保险制度衔接办法，加强城乡社会保险制度统筹，完善社会保险关系跨区域跨制度转移接续政策。提高失业保险金标准，建立待遇水平动态增长机制，加大对困难家庭、双失业家庭、大龄失业人员等重点群体的生活保障力度。</w:t>
      </w:r>
    </w:p>
    <w:p>
      <w:pPr>
        <w:pStyle w:val="2"/>
        <w:rPr>
          <w:rFonts w:hint="eastAsia"/>
        </w:rPr>
      </w:pP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hint="eastAsia" w:ascii="Cambria" w:hAnsi="Cambria" w:eastAsia="楷体_GB2312"/>
          <w:color w:val="auto"/>
          <w:sz w:val="34"/>
        </w:rPr>
      </w:pPr>
      <w:bookmarkStart w:id="46" w:name="_Toc16480"/>
      <w:r>
        <w:rPr>
          <w:rFonts w:hint="eastAsia" w:ascii="Cambria" w:hAnsi="Cambria" w:eastAsia="楷体_GB2312"/>
          <w:color w:val="000000"/>
          <w:sz w:val="34"/>
        </w:rPr>
        <w:t>第</w:t>
      </w:r>
      <w:r>
        <w:rPr>
          <w:rFonts w:hint="eastAsia" w:ascii="Cambria" w:hAnsi="Cambria" w:eastAsia="楷体_GB2312"/>
          <w:color w:val="000000"/>
          <w:sz w:val="34"/>
          <w:lang w:eastAsia="zh-CN"/>
        </w:rPr>
        <w:t>四</w:t>
      </w:r>
      <w:r>
        <w:rPr>
          <w:rFonts w:hint="eastAsia" w:ascii="Cambria" w:hAnsi="Cambria" w:eastAsia="楷体_GB2312"/>
          <w:color w:val="000000"/>
          <w:sz w:val="34"/>
        </w:rPr>
        <w:t xml:space="preserve">节 </w:t>
      </w:r>
      <w:bookmarkEnd w:id="44"/>
      <w:bookmarkStart w:id="47" w:name="_Toc25109"/>
      <w:r>
        <w:rPr>
          <w:rFonts w:hint="eastAsia" w:ascii="Cambria" w:hAnsi="Cambria" w:eastAsia="楷体_GB2312"/>
          <w:color w:val="auto"/>
          <w:sz w:val="34"/>
        </w:rPr>
        <w:t>提升社会保险经办服务水平</w:t>
      </w:r>
      <w:bookmarkEnd w:id="46"/>
      <w:bookmarkEnd w:id="47"/>
    </w:p>
    <w:p>
      <w:pPr>
        <w:keepLines w:val="0"/>
        <w:pageBreakBefore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highlight w:val="none"/>
          <w:shd w:val="clear" w:color="auto" w:fill="auto"/>
        </w:rPr>
        <w:t>全面优化经办服务管理体系。</w:t>
      </w:r>
      <w:r>
        <w:rPr>
          <w:rFonts w:hint="eastAsia" w:ascii="仿宋_GB2312" w:hAnsi="仿宋_GB2312" w:eastAsia="仿宋_GB2312" w:cs="仿宋_GB2312"/>
          <w:color w:val="auto"/>
          <w:sz w:val="32"/>
          <w:szCs w:val="32"/>
          <w:highlight w:val="none"/>
          <w:shd w:val="clear" w:color="auto" w:fill="auto"/>
        </w:rPr>
        <w:t>规范统一社会保险费征收机构，</w:t>
      </w:r>
      <w:r>
        <w:rPr>
          <w:rFonts w:hint="eastAsia" w:ascii="仿宋_GB2312" w:hAnsi="仿宋_GB2312" w:eastAsia="仿宋_GB2312" w:cs="仿宋_GB2312"/>
          <w:color w:val="auto"/>
          <w:sz w:val="32"/>
          <w:szCs w:val="32"/>
        </w:rPr>
        <w:t>实行由税部门统一征收。</w:t>
      </w:r>
      <w:r>
        <w:rPr>
          <w:rFonts w:hint="eastAsia" w:ascii="仿宋_GB2312" w:hAnsi="仿宋_GB2312" w:eastAsia="仿宋_GB2312" w:cs="仿宋_GB2312"/>
          <w:color w:val="auto"/>
          <w:sz w:val="32"/>
          <w:szCs w:val="32"/>
          <w:highlight w:val="none"/>
          <w:shd w:val="clear" w:color="auto" w:fill="auto"/>
        </w:rPr>
        <w:t>加快经办服务场所、机构、人员、流程、稽核等的整合和规范统一，逐步实现各类社会保险经办服务一体化。加强标准化建设，形成与社会保障改革发展相适应，融信息化建设、参保登记、权益记录、转移接续、待遇领取等业务于一体的标准化体系。</w:t>
      </w:r>
      <w:r>
        <w:rPr>
          <w:rFonts w:hint="eastAsia" w:ascii="仿宋_GB2312" w:hAnsi="仿宋_GB2312" w:eastAsia="仿宋_GB2312" w:cs="仿宋_GB2312"/>
          <w:color w:val="auto"/>
          <w:sz w:val="32"/>
          <w:szCs w:val="32"/>
          <w:highlight w:val="none"/>
          <w:shd w:val="clear" w:color="auto" w:fill="auto"/>
          <w:lang w:val="en-US" w:eastAsia="zh-CN"/>
        </w:rPr>
        <w:t>加快</w:t>
      </w:r>
      <w:r>
        <w:rPr>
          <w:rFonts w:hint="eastAsia" w:ascii="仿宋_GB2312" w:hAnsi="仿宋_GB2312" w:eastAsia="仿宋_GB2312" w:cs="仿宋_GB2312"/>
          <w:color w:val="auto"/>
          <w:sz w:val="32"/>
          <w:szCs w:val="32"/>
          <w:highlight w:val="none"/>
          <w:shd w:val="clear" w:color="auto" w:fill="auto"/>
        </w:rPr>
        <w:t>设立汕尾市城区城乡居民养老保险管理中心经办机构</w:t>
      </w:r>
      <w:r>
        <w:rPr>
          <w:rFonts w:hint="eastAsia" w:ascii="仿宋_GB2312" w:hAnsi="仿宋_GB2312" w:eastAsia="仿宋_GB2312" w:cs="仿宋_GB2312"/>
          <w:color w:val="auto"/>
          <w:sz w:val="32"/>
          <w:szCs w:val="32"/>
          <w:highlight w:val="none"/>
          <w:shd w:val="clear" w:color="auto" w:fill="auto"/>
          <w:lang w:eastAsia="zh-CN"/>
        </w:rPr>
        <w:t>，科学整合现有公共服务资源和社会保险经办管理资源，注重运用政府购买服务方式，充实加强基层经办力量，实现精确管理，便捷服务。</w:t>
      </w:r>
      <w:r>
        <w:rPr>
          <w:rFonts w:hint="eastAsia" w:ascii="仿宋_GB2312" w:hAnsi="仿宋_GB2312" w:eastAsia="仿宋_GB2312" w:cs="仿宋_GB2312"/>
          <w:color w:val="auto"/>
          <w:sz w:val="32"/>
          <w:szCs w:val="32"/>
          <w:highlight w:val="none"/>
          <w:shd w:val="clear" w:color="auto" w:fill="auto"/>
        </w:rPr>
        <w:t>推进社会保险经办业务属地化管理，</w:t>
      </w:r>
      <w:r>
        <w:rPr>
          <w:rFonts w:hint="eastAsia" w:ascii="仿宋_GB2312" w:hAnsi="仿宋_GB2312" w:eastAsia="仿宋_GB2312" w:cs="仿宋_GB2312"/>
          <w:color w:val="auto"/>
          <w:sz w:val="32"/>
          <w:szCs w:val="32"/>
        </w:rPr>
        <w:t>进一步理顺市、区职责关系，</w:t>
      </w:r>
      <w:r>
        <w:rPr>
          <w:rFonts w:hint="eastAsia" w:ascii="仿宋_GB2312" w:hAnsi="仿宋_GB2312" w:eastAsia="仿宋_GB2312" w:cs="仿宋_GB2312"/>
          <w:color w:val="auto"/>
          <w:sz w:val="32"/>
          <w:szCs w:val="32"/>
          <w:highlight w:val="none"/>
          <w:shd w:val="clear" w:color="auto" w:fill="auto"/>
        </w:rPr>
        <w:t>推动区级组织的内设机构设置标准化、扁平化和人员配置科学化，推动多险合一经办。</w:t>
      </w:r>
      <w:r>
        <w:rPr>
          <w:rFonts w:hint="eastAsia" w:ascii="仿宋_GB2312" w:hAnsi="仿宋_GB2312" w:eastAsia="仿宋_GB2312" w:cs="仿宋_GB2312"/>
          <w:color w:val="auto"/>
          <w:sz w:val="32"/>
          <w:szCs w:val="32"/>
        </w:rPr>
        <w:t>推动企业退休人员基本纳入街道社区实行社会化管理。</w:t>
      </w:r>
    </w:p>
    <w:p>
      <w:pPr>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推动社保经办数字化转型。</w:t>
      </w:r>
      <w:r>
        <w:rPr>
          <w:rFonts w:hint="eastAsia" w:ascii="仿宋_GB2312" w:hAnsi="仿宋_GB2312" w:eastAsia="仿宋_GB2312" w:cs="仿宋_GB2312"/>
          <w:color w:val="auto"/>
          <w:sz w:val="32"/>
          <w:szCs w:val="32"/>
          <w:highlight w:val="none"/>
          <w:shd w:val="clear" w:color="auto" w:fill="auto"/>
        </w:rPr>
        <w:t>优化经办模式，拓展服务渠道，适应移动互联网发展趋势，建设“电子社保”、“掌上社保”，实现社会保障服务更加便捷、高效。</w:t>
      </w:r>
      <w:r>
        <w:rPr>
          <w:rFonts w:hint="eastAsia" w:ascii="仿宋_GB2312" w:hAnsi="仿宋_GB2312" w:eastAsia="仿宋_GB2312" w:cs="仿宋_GB2312"/>
          <w:color w:val="auto"/>
          <w:sz w:val="32"/>
          <w:szCs w:val="32"/>
        </w:rPr>
        <w:t>全面应用并优化集中式社保信息系统，实现业务财务档案的一体化和数字化，</w:t>
      </w:r>
      <w:r>
        <w:rPr>
          <w:rFonts w:hint="eastAsia" w:ascii="仿宋_GB2312" w:hAnsi="仿宋_GB2312" w:eastAsia="仿宋_GB2312" w:cs="仿宋_GB2312"/>
          <w:color w:val="auto"/>
          <w:sz w:val="32"/>
          <w:szCs w:val="32"/>
          <w:highlight w:val="none"/>
          <w:shd w:val="clear" w:color="auto" w:fill="auto"/>
        </w:rPr>
        <w:t>强化人社部门内部及跨部门数据共享。建立统一的社会保险公共服务平台，对接全省社保公共服务平台。建立社保卡“一卡通"服务管理模式，实现社保卡市内通用通办、线上线下一体化应用。畅通线上参保缴费、待遇申领等服务渠道，实现社保关系顺畅衔接，</w:t>
      </w:r>
      <w:r>
        <w:rPr>
          <w:rFonts w:hint="eastAsia" w:ascii="仿宋_GB2312" w:eastAsia="仿宋_GB2312" w:hAnsiTheme="minorEastAsia"/>
          <w:color w:val="auto"/>
          <w:sz w:val="32"/>
          <w:szCs w:val="32"/>
        </w:rPr>
        <w:t>实行工伤医疗费用联网结算，优化异地工伤医疗管理服务。</w:t>
      </w:r>
      <w:r>
        <w:rPr>
          <w:rFonts w:hint="eastAsia" w:ascii="仿宋_GB2312" w:hAnsi="仿宋_GB2312" w:eastAsia="仿宋_GB2312" w:cs="仿宋_GB2312"/>
          <w:color w:val="auto"/>
          <w:sz w:val="32"/>
          <w:szCs w:val="32"/>
          <w:highlight w:val="none"/>
          <w:shd w:val="clear" w:color="auto" w:fill="auto"/>
        </w:rPr>
        <w:t>健全社保领域严重失信人名单管理制度，严格执行社保领域守信联合激励和失信联合惩戒措施，加强社保严重失信黑名单认定和管理。</w:t>
      </w:r>
    </w:p>
    <w:p>
      <w:pPr>
        <w:pStyle w:val="2"/>
        <w:rPr>
          <w:rFonts w:hint="eastAsia"/>
        </w:r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ascii="Calibri" w:hAnsi="Calibri" w:eastAsia="黑体"/>
          <w:color w:val="auto"/>
          <w:sz w:val="44"/>
          <w:szCs w:val="44"/>
          <w:lang w:val="en-US" w:eastAsia="zh-CN"/>
        </w:rPr>
      </w:pPr>
      <w:bookmarkStart w:id="48" w:name="_Toc19539"/>
      <w:bookmarkStart w:id="49" w:name="_Toc897"/>
      <w:r>
        <w:rPr>
          <w:rFonts w:hint="eastAsia" w:ascii="Calibri" w:hAnsi="Calibri" w:eastAsia="黑体"/>
          <w:color w:val="auto"/>
          <w:sz w:val="44"/>
          <w:szCs w:val="44"/>
          <w:lang w:val="en-US" w:eastAsia="zh-CN"/>
        </w:rPr>
        <w:t>第六章</w:t>
      </w:r>
      <w:r>
        <w:rPr>
          <w:rFonts w:ascii="Calibri" w:hAnsi="Calibri" w:eastAsia="黑体"/>
          <w:color w:val="auto"/>
          <w:sz w:val="44"/>
          <w:szCs w:val="44"/>
          <w:lang w:val="en-US" w:eastAsia="zh-CN"/>
        </w:rPr>
        <w:t xml:space="preserve"> </w:t>
      </w:r>
      <w:r>
        <w:rPr>
          <w:rFonts w:hint="eastAsia" w:ascii="Calibri" w:hAnsi="Calibri" w:eastAsia="黑体"/>
          <w:color w:val="auto"/>
          <w:sz w:val="44"/>
          <w:szCs w:val="44"/>
          <w:lang w:val="en-US" w:eastAsia="zh-CN"/>
        </w:rPr>
        <w:t xml:space="preserve"> 建设高水平人才队</w:t>
      </w:r>
      <w:bookmarkEnd w:id="40"/>
      <w:r>
        <w:rPr>
          <w:rFonts w:hint="eastAsia" w:ascii="Calibri" w:hAnsi="Calibri" w:eastAsia="黑体"/>
          <w:color w:val="auto"/>
          <w:sz w:val="44"/>
          <w:szCs w:val="44"/>
          <w:lang w:val="en-US" w:eastAsia="zh-CN"/>
        </w:rPr>
        <w:t>伍</w:t>
      </w:r>
      <w:bookmarkEnd w:id="48"/>
      <w:bookmarkEnd w:id="49"/>
    </w:p>
    <w:p>
      <w:pPr>
        <w:keepLines w:val="0"/>
        <w:pageBreakBefore w:val="0"/>
        <w:kinsoku/>
        <w:wordWrap/>
        <w:overflowPunct/>
        <w:topLinePunct w:val="0"/>
        <w:autoSpaceDE/>
        <w:autoSpaceDN/>
        <w:bidi w:val="0"/>
        <w:adjustRightInd w:val="0"/>
        <w:snapToGrid w:val="0"/>
        <w:spacing w:line="560" w:lineRule="exact"/>
        <w:ind w:firstLine="640" w:firstLineChars="200"/>
        <w:rPr>
          <w:rStyle w:val="17"/>
          <w:rFonts w:hAnsi="仿宋" w:eastAsia="仿宋_GB2312" w:cs="仿宋"/>
          <w:sz w:val="32"/>
          <w:szCs w:val="32"/>
        </w:rPr>
      </w:pPr>
      <w:bookmarkStart w:id="50" w:name="_Toc29194"/>
      <w:r>
        <w:rPr>
          <w:rStyle w:val="17"/>
          <w:rFonts w:hint="eastAsia" w:hAnsi="仿宋" w:eastAsia="仿宋_GB2312" w:cs="仿宋"/>
          <w:color w:val="auto"/>
          <w:sz w:val="32"/>
          <w:szCs w:val="32"/>
        </w:rPr>
        <w:t>坚持党管人才原则</w:t>
      </w:r>
      <w:r>
        <w:rPr>
          <w:rStyle w:val="17"/>
          <w:rFonts w:hint="eastAsia" w:hAnsi="仿宋" w:eastAsia="仿宋_GB2312" w:cs="仿宋"/>
          <w:color w:val="auto"/>
          <w:sz w:val="32"/>
          <w:szCs w:val="32"/>
          <w:lang w:eastAsia="zh-CN"/>
        </w:rPr>
        <w:t>。</w:t>
      </w:r>
      <w:r>
        <w:rPr>
          <w:rStyle w:val="17"/>
          <w:rFonts w:hint="eastAsia" w:hAnsi="仿宋" w:eastAsia="仿宋_GB2312" w:cs="仿宋"/>
          <w:sz w:val="32"/>
          <w:szCs w:val="32"/>
        </w:rPr>
        <w:t>加强专业技术人才、技能人才队伍建设，协同现代产业发展，支撑经济社会转型，深入实施人才强</w:t>
      </w:r>
      <w:r>
        <w:rPr>
          <w:rStyle w:val="17"/>
          <w:rFonts w:hint="eastAsia" w:hAnsi="仿宋" w:eastAsia="仿宋_GB2312" w:cs="仿宋"/>
          <w:sz w:val="32"/>
          <w:szCs w:val="32"/>
          <w:lang w:eastAsia="zh-CN"/>
        </w:rPr>
        <w:t>区</w:t>
      </w:r>
      <w:r>
        <w:rPr>
          <w:rStyle w:val="17"/>
          <w:rFonts w:hint="eastAsia" w:hAnsi="仿宋" w:eastAsia="仿宋_GB2312" w:cs="仿宋"/>
          <w:sz w:val="32"/>
          <w:szCs w:val="32"/>
        </w:rPr>
        <w:t>战略，大力推进人才发展体制机制改革和政策创新，持续优化人才发展环境和服务保障，全面提升高水平人才集聚能力。</w:t>
      </w: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Cambria" w:hAnsi="Cambria" w:eastAsia="楷体_GB2312"/>
          <w:color w:val="000000"/>
          <w:sz w:val="34"/>
        </w:rPr>
      </w:pPr>
      <w:bookmarkStart w:id="51" w:name="_Toc5372"/>
      <w:bookmarkStart w:id="52" w:name="_Toc15988"/>
      <w:r>
        <w:rPr>
          <w:rFonts w:hint="eastAsia" w:ascii="Cambria" w:hAnsi="Cambria" w:eastAsia="楷体_GB2312"/>
          <w:color w:val="000000"/>
          <w:sz w:val="34"/>
        </w:rPr>
        <w:t>第一节  加快建设高层次专业技术人才队伍</w:t>
      </w:r>
      <w:bookmarkEnd w:id="51"/>
      <w:bookmarkEnd w:id="52"/>
    </w:p>
    <w:p>
      <w:pPr>
        <w:keepLines w:val="0"/>
        <w:pageBreakBefore w:val="0"/>
        <w:kinsoku/>
        <w:wordWrap/>
        <w:overflowPunct/>
        <w:topLinePunct w:val="0"/>
        <w:autoSpaceDE/>
        <w:autoSpaceDN/>
        <w:bidi w:val="0"/>
        <w:adjustRightInd w:val="0"/>
        <w:snapToGrid w:val="0"/>
        <w:spacing w:line="560" w:lineRule="exact"/>
        <w:ind w:firstLine="643" w:firstLineChars="200"/>
        <w:rPr>
          <w:color w:val="auto"/>
        </w:rPr>
      </w:pPr>
      <w:r>
        <w:rPr>
          <w:rStyle w:val="17"/>
          <w:rFonts w:hint="eastAsia" w:hAnsi="仿宋" w:eastAsia="仿宋_GB2312" w:cs="仿宋"/>
          <w:b/>
          <w:sz w:val="32"/>
          <w:szCs w:val="32"/>
        </w:rPr>
        <w:t>深化专业技术职称制度改革。</w:t>
      </w:r>
      <w:r>
        <w:rPr>
          <w:rStyle w:val="17"/>
          <w:rFonts w:hint="eastAsia" w:hAnsi="仿宋" w:eastAsia="仿宋_GB2312" w:cs="仿宋"/>
          <w:color w:val="auto"/>
          <w:sz w:val="32"/>
          <w:szCs w:val="32"/>
        </w:rPr>
        <w:t>完善职称管理体系，促进职称政策与人事人才政策相衔接。在中小学职称改革基础上，逐步在其他系统探索建立与人事人才政策相衔接，建立健全评聘分开制度。将社会化职称评定职能全面下放给具备条件的行业组织，支持民营企业、社会组织参与职称评价。制定行业组织承接职称评审职能监管办法。争取在卫生、建筑等专业组建中初级职称评审委员会。在新型研发机构、大型骨干企业、高新技术企业等开展职称自主评价试点。将技术创新、高新技术成果转化、发明专利转化等方面取得的经济效益和社会效益作为职称评审的重要条件。推进职称信息化建设，建立健全职称申报兜底机制，畅通各类型专业技术人才职称申报渠道。</w:t>
      </w:r>
    </w:p>
    <w:p>
      <w:pPr>
        <w:keepLines w:val="0"/>
        <w:pageBreakBefore w:val="0"/>
        <w:kinsoku/>
        <w:wordWrap/>
        <w:overflowPunct/>
        <w:topLinePunct w:val="0"/>
        <w:autoSpaceDE/>
        <w:autoSpaceDN/>
        <w:bidi w:val="0"/>
        <w:adjustRightInd w:val="0"/>
        <w:snapToGrid w:val="0"/>
        <w:spacing w:line="560" w:lineRule="exact"/>
        <w:ind w:firstLine="643" w:firstLineChars="200"/>
        <w:rPr>
          <w:rStyle w:val="17"/>
        </w:rPr>
      </w:pPr>
      <w:r>
        <w:rPr>
          <w:rStyle w:val="17"/>
          <w:rFonts w:hint="eastAsia" w:hAnsi="仿宋" w:eastAsia="仿宋_GB2312" w:cs="仿宋"/>
          <w:b/>
          <w:sz w:val="32"/>
          <w:szCs w:val="32"/>
        </w:rPr>
        <w:t>推进新时代博士</w:t>
      </w:r>
      <w:r>
        <w:rPr>
          <w:rStyle w:val="17"/>
          <w:rFonts w:hint="eastAsia" w:hAnsi="仿宋" w:eastAsia="仿宋_GB2312" w:cs="仿宋"/>
          <w:b/>
          <w:sz w:val="32"/>
          <w:szCs w:val="32"/>
          <w:lang w:eastAsia="zh-CN"/>
        </w:rPr>
        <w:t>高层次</w:t>
      </w:r>
      <w:r>
        <w:rPr>
          <w:rStyle w:val="17"/>
          <w:rFonts w:hint="eastAsia" w:hAnsi="仿宋" w:eastAsia="仿宋_GB2312" w:cs="仿宋"/>
          <w:b/>
          <w:sz w:val="32"/>
          <w:szCs w:val="32"/>
        </w:rPr>
        <w:t>人才创新发展。</w:t>
      </w:r>
      <w:r>
        <w:rPr>
          <w:rStyle w:val="17"/>
          <w:rFonts w:hint="eastAsia" w:hAnsi="仿宋" w:eastAsia="仿宋_GB2312" w:cs="仿宋"/>
          <w:sz w:val="32"/>
          <w:szCs w:val="32"/>
        </w:rPr>
        <w:t>大力招揽海内外优秀</w:t>
      </w:r>
      <w:r>
        <w:rPr>
          <w:rStyle w:val="17"/>
          <w:rFonts w:hint="eastAsia" w:hAnsi="仿宋" w:eastAsia="仿宋_GB2312" w:cs="仿宋"/>
          <w:sz w:val="32"/>
          <w:szCs w:val="32"/>
          <w:lang w:eastAsia="zh-CN"/>
        </w:rPr>
        <w:t>高层次人才</w:t>
      </w:r>
      <w:r>
        <w:rPr>
          <w:rStyle w:val="17"/>
          <w:rFonts w:hint="eastAsia" w:hAnsi="仿宋" w:eastAsia="仿宋_GB2312" w:cs="仿宋"/>
          <w:sz w:val="32"/>
          <w:szCs w:val="32"/>
        </w:rPr>
        <w:t>来汕尾工作。完善博士后资助政策，拓展招收渠道，搭建优化发展平台，鼓励支持高端产业开展博士后工作。加大博士后招收力度，依托国内著名高校和深圳研究机构，深化深汕博士后人才与项目的合作。鼓励支持参加广东“众创杯”博士博士后创新赛。支持博士后到众创空间开展创新创业，促进人才、技术、资本的高效配置和有效整合。组织</w:t>
      </w:r>
      <w:r>
        <w:rPr>
          <w:rStyle w:val="17"/>
          <w:rFonts w:hint="eastAsia" w:hAnsi="仿宋" w:eastAsia="仿宋_GB2312" w:cs="仿宋"/>
          <w:sz w:val="32"/>
          <w:szCs w:val="32"/>
          <w:lang w:eastAsia="zh-CN"/>
        </w:rPr>
        <w:t>高层次人才沙龙</w:t>
      </w:r>
      <w:r>
        <w:rPr>
          <w:rStyle w:val="17"/>
          <w:rFonts w:hint="eastAsia" w:hAnsi="仿宋" w:eastAsia="仿宋_GB2312" w:cs="仿宋"/>
          <w:sz w:val="32"/>
          <w:szCs w:val="32"/>
        </w:rPr>
        <w:t>活动，营造学术交流氛围。</w:t>
      </w:r>
    </w:p>
    <w:p>
      <w:pPr>
        <w:keepLines w:val="0"/>
        <w:pageBreakBefore w:val="0"/>
        <w:kinsoku/>
        <w:wordWrap/>
        <w:overflowPunct/>
        <w:topLinePunct w:val="0"/>
        <w:autoSpaceDE/>
        <w:autoSpaceDN/>
        <w:bidi w:val="0"/>
        <w:adjustRightInd w:val="0"/>
        <w:snapToGrid w:val="0"/>
        <w:spacing w:line="560" w:lineRule="exact"/>
        <w:ind w:firstLine="643" w:firstLineChars="200"/>
        <w:rPr>
          <w:rStyle w:val="17"/>
          <w:rFonts w:hAnsi="仿宋" w:eastAsia="仿宋_GB2312" w:cs="仿宋"/>
          <w:color w:val="auto"/>
          <w:sz w:val="32"/>
          <w:szCs w:val="32"/>
        </w:rPr>
      </w:pPr>
      <w:r>
        <w:rPr>
          <w:rStyle w:val="17"/>
          <w:rFonts w:hint="eastAsia" w:hAnsi="仿宋" w:eastAsia="仿宋_GB2312" w:cs="仿宋"/>
          <w:b/>
          <w:sz w:val="32"/>
          <w:szCs w:val="32"/>
        </w:rPr>
        <w:t>优化专技人才继续教育</w:t>
      </w:r>
      <w:r>
        <w:rPr>
          <w:rStyle w:val="17"/>
          <w:rFonts w:hint="eastAsia" w:hAnsi="仿宋" w:eastAsia="仿宋_GB2312" w:cs="仿宋"/>
          <w:b/>
          <w:color w:val="auto"/>
          <w:sz w:val="32"/>
          <w:szCs w:val="32"/>
        </w:rPr>
        <w:t>。</w:t>
      </w:r>
      <w:r>
        <w:rPr>
          <w:rStyle w:val="17"/>
          <w:rFonts w:hint="eastAsia" w:hAnsi="仿宋" w:eastAsia="仿宋_GB2312" w:cs="仿宋"/>
          <w:color w:val="auto"/>
          <w:sz w:val="32"/>
          <w:szCs w:val="32"/>
        </w:rPr>
        <w:t>深入落实《广东省专业技术人员继续教育条例》《专业技术人员继续教育规定》，大力实施专业技术人才知识更新工程，着力提升专业技术人才的综合素质、专业水平和创新能力。创新继续教育方式，提升线上培训服务质量。按照高水平、小规模、重特色的要求，组织本区专业技术人员参加各类国家级、省级中高级研修项目。进一步强化继续教育对提升基层专业技术人才能力素质的主渠道作用。联合有关施教机构主动承担培训任务，为基层专业技术人才提供形式多样的继续教育服务。</w:t>
      </w: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Cambria" w:hAnsi="Cambria" w:eastAsia="楷体_GB2312"/>
          <w:color w:val="auto"/>
          <w:sz w:val="34"/>
        </w:rPr>
      </w:pPr>
      <w:bookmarkStart w:id="53" w:name="_Toc17540"/>
      <w:bookmarkStart w:id="54" w:name="_Toc19335"/>
      <w:r>
        <w:rPr>
          <w:rFonts w:hint="eastAsia" w:ascii="Cambria" w:hAnsi="Cambria" w:eastAsia="楷体_GB2312"/>
          <w:color w:val="auto"/>
          <w:sz w:val="34"/>
        </w:rPr>
        <w:t>第二节  扩大高水平技能人才有效供给</w:t>
      </w:r>
      <w:bookmarkEnd w:id="53"/>
      <w:bookmarkEnd w:id="54"/>
    </w:p>
    <w:p>
      <w:pPr>
        <w:keepLines w:val="0"/>
        <w:pageBreakBefore w:val="0"/>
        <w:kinsoku/>
        <w:wordWrap/>
        <w:overflowPunct/>
        <w:topLinePunct w:val="0"/>
        <w:autoSpaceDE/>
        <w:autoSpaceDN/>
        <w:bidi w:val="0"/>
        <w:adjustRightInd w:val="0"/>
        <w:snapToGrid w:val="0"/>
        <w:spacing w:line="560" w:lineRule="exact"/>
        <w:ind w:firstLine="643" w:firstLineChars="200"/>
        <w:rPr>
          <w:rFonts w:hAnsi="仿宋_GB2312" w:eastAsia="仿宋_GB2312" w:cs="仿宋_GB2312"/>
          <w:color w:val="auto"/>
          <w:sz w:val="32"/>
          <w:szCs w:val="32"/>
        </w:rPr>
      </w:pPr>
      <w:r>
        <w:rPr>
          <w:rFonts w:hint="eastAsia" w:ascii="仿宋_GB2312" w:hAnsi="仿宋_GB2312" w:eastAsia="仿宋_GB2312" w:cs="仿宋_GB2312"/>
          <w:b/>
          <w:bCs/>
          <w:color w:val="auto"/>
          <w:sz w:val="32"/>
          <w:szCs w:val="32"/>
        </w:rPr>
        <w:t>开展大规模职业技能培训</w:t>
      </w:r>
      <w:r>
        <w:rPr>
          <w:rFonts w:hint="eastAsia" w:ascii="仿宋_GB2312" w:hAnsi="仿宋_GB2312" w:eastAsia="仿宋_GB2312" w:cs="仿宋_GB2312"/>
          <w:color w:val="auto"/>
          <w:sz w:val="32"/>
          <w:szCs w:val="32"/>
        </w:rPr>
        <w:t>。充分发挥院校和企业培训主体作用，依托市场化力量，全面实施职业技能提升行动，推行终身职业技能培训制度，全面提升劳动者技能素质。扩大职业技能培训网络覆盖面，创新“上线下乡”双向培训模式，支持企业和院校等设立“技能网校”，推广“互联网</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线上职业技能培训。支持企业和院校深入基层乡镇设立培训点，开展“送教下乡”培训，促进城乡劳动力“就地培训、就近就业”。灵活运用技能提升培训、适岗培训、企业新型学徒培养等多种培训方式，重点加强对企业职工、就业困难人员、“两后生”、高校毕业生、农民工、新型职业农民等重点群体劳动力职业技能培训，确保覆盖每一个有培训愿望的劳动力。充分释放培训补贴资金红利，落实企业紧缺急需职业（工种）高级工以上技能提升补贴提高30%政策，强化资金保障，完善资金使用管理制度，提高培训补贴资金使用效率。</w:t>
      </w:r>
    </w:p>
    <w:p>
      <w:pPr>
        <w:keepLines w:val="0"/>
        <w:pageBreakBefore w:val="0"/>
        <w:kinsoku/>
        <w:wordWrap/>
        <w:overflowPunct/>
        <w:topLinePunct w:val="0"/>
        <w:autoSpaceDE/>
        <w:autoSpaceDN/>
        <w:bidi w:val="0"/>
        <w:adjustRightInd w:val="0"/>
        <w:snapToGrid w:val="0"/>
        <w:spacing w:line="560" w:lineRule="exact"/>
        <w:ind w:firstLine="643" w:firstLineChars="200"/>
        <w:rPr>
          <w:rFonts w:hAnsi="仿宋_GB2312" w:eastAsia="仿宋_GB2312" w:cs="仿宋_GB2312"/>
          <w:color w:val="auto"/>
          <w:sz w:val="32"/>
          <w:szCs w:val="32"/>
        </w:rPr>
      </w:pPr>
      <w:r>
        <w:rPr>
          <w:rFonts w:hint="eastAsia" w:ascii="仿宋_GB2312" w:hAnsi="仿宋_GB2312" w:eastAsia="仿宋_GB2312" w:cs="仿宋_GB2312"/>
          <w:b/>
          <w:bCs/>
          <w:color w:val="auto"/>
          <w:sz w:val="32"/>
          <w:szCs w:val="32"/>
        </w:rPr>
        <w:t>完善技能人才评价激励机制。</w:t>
      </w:r>
      <w:r>
        <w:rPr>
          <w:rFonts w:hint="eastAsia" w:ascii="仿宋_GB2312" w:hAnsi="仿宋_GB2312" w:eastAsia="仿宋_GB2312" w:cs="仿宋_GB2312"/>
          <w:color w:val="auto"/>
          <w:sz w:val="32"/>
          <w:szCs w:val="32"/>
        </w:rPr>
        <w:t>以职业技能等级证书制度改革为重点，建立健全以职业资格评价、职业技能等级认定和专项职业能力考核等为主要内容的技能人才多元评价制度，拓宽技能人才发展通道。推动用人单位建立职工凭技能得到使用晋升、凭业绩贡献确定薪酬待遇的激励制度。</w:t>
      </w:r>
    </w:p>
    <w:p>
      <w:pPr>
        <w:keepLines w:val="0"/>
        <w:pageBreakBefore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大力弘扬新时期工匠精神。</w:t>
      </w:r>
      <w:r>
        <w:rPr>
          <w:rFonts w:hint="eastAsia" w:ascii="仿宋_GB2312" w:hAnsi="仿宋_GB2312" w:eastAsia="仿宋_GB2312" w:cs="仿宋_GB2312"/>
          <w:color w:val="auto"/>
          <w:sz w:val="32"/>
          <w:szCs w:val="32"/>
        </w:rPr>
        <w:t>加大对工匠精神、工匠文化的研究力度，将工匠精神列为职业培训机构通用职业素质必修课，融入专业教学、实习实训、就业指导等教学环节，贯穿教育培训全过程。推广和打造</w:t>
      </w:r>
      <w:r>
        <w:rPr>
          <w:rFonts w:hint="eastAsia" w:ascii="仿宋_GB2312" w:hAnsi="仿宋_GB2312" w:eastAsia="仿宋_GB2312" w:cs="仿宋_GB2312"/>
          <w:color w:val="auto"/>
          <w:sz w:val="32"/>
          <w:szCs w:val="32"/>
          <w:lang w:val="zh-CN" w:bidi="zh-CN"/>
        </w:rPr>
        <w:t>“</w:t>
      </w:r>
      <w:r>
        <w:rPr>
          <w:rFonts w:hint="eastAsia" w:ascii="仿宋_GB2312" w:hAnsi="仿宋_GB2312" w:eastAsia="仿宋_GB2312" w:cs="仿宋_GB2312"/>
          <w:color w:val="auto"/>
          <w:sz w:val="32"/>
          <w:szCs w:val="32"/>
          <w:lang w:bidi="zh-CN"/>
        </w:rPr>
        <w:t>善美</w:t>
      </w:r>
      <w:r>
        <w:rPr>
          <w:rFonts w:hint="eastAsia" w:ascii="仿宋_GB2312" w:hAnsi="仿宋_GB2312" w:eastAsia="仿宋_GB2312" w:cs="仿宋_GB2312"/>
          <w:color w:val="auto"/>
          <w:sz w:val="32"/>
          <w:szCs w:val="32"/>
        </w:rPr>
        <w:t>工匠”等电视节目品牌，大力宣传技能人才在经济高质量发展中的重要作用，选一批重视技能的企业和技能人才典型，</w:t>
      </w:r>
      <w:r>
        <w:rPr>
          <w:rFonts w:ascii="仿宋_GB2312" w:hAnsi="仿宋_GB2312" w:eastAsia="仿宋_GB2312" w:cs="仿宋_GB2312"/>
          <w:color w:val="auto"/>
          <w:sz w:val="32"/>
          <w:szCs w:val="32"/>
        </w:rPr>
        <w:t>营造崇尚技能的社会氛围。</w:t>
      </w: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Cambria" w:hAnsi="Cambria" w:eastAsia="楷体_GB2312"/>
          <w:color w:val="auto"/>
          <w:sz w:val="34"/>
        </w:rPr>
      </w:pPr>
      <w:bookmarkStart w:id="55" w:name="_Toc31314"/>
      <w:bookmarkStart w:id="56" w:name="_Toc18868"/>
      <w:r>
        <w:rPr>
          <w:rFonts w:hint="eastAsia" w:ascii="Cambria" w:hAnsi="Cambria" w:eastAsia="楷体_GB2312"/>
          <w:color w:val="auto"/>
          <w:sz w:val="34"/>
        </w:rPr>
        <w:t>第三节  实施重大人才培养工程</w:t>
      </w:r>
      <w:bookmarkEnd w:id="55"/>
      <w:bookmarkEnd w:id="56"/>
    </w:p>
    <w:p>
      <w:pPr>
        <w:pStyle w:val="20"/>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color w:val="auto"/>
          <w:sz w:val="32"/>
          <w:szCs w:val="32"/>
          <w:lang w:val="en-US" w:bidi="ar-SA"/>
        </w:rPr>
        <w:t>打造“善美工匠”品牌。</w:t>
      </w:r>
      <w:r>
        <w:rPr>
          <w:rFonts w:hint="eastAsia" w:ascii="仿宋_GB2312" w:hAnsi="仿宋_GB2312" w:eastAsia="仿宋_GB2312" w:cs="仿宋_GB2312"/>
          <w:color w:val="auto"/>
          <w:sz w:val="32"/>
          <w:szCs w:val="32"/>
          <w:lang w:val="en-US" w:eastAsia="zh-CN" w:bidi="ar-SA"/>
        </w:rPr>
        <w:t>推动职业、技工教育与现代产业高质量协同发展，大力实施服务现代产业发展行动、技工教育大发展行动、职业技能提升行动、创新评价激励机制先导行动、菁英培育成长行动、技能就业创业行动、工匠精神培育弘扬行动等七大行动计划。实施“广东技工”工程，到2025年，我区“广东技工”规模更加大、结果更加优良、年龄梯队更加完善、技术技能更加精湛。</w:t>
      </w:r>
    </w:p>
    <w:p>
      <w:pPr>
        <w:pStyle w:val="20"/>
        <w:keepLines w:val="0"/>
        <w:pageBreakBefore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color w:val="auto"/>
          <w:sz w:val="32"/>
          <w:szCs w:val="32"/>
          <w:lang w:val="en-US" w:bidi="ar-SA"/>
        </w:rPr>
        <w:t>打造“吃在汕尾”品牌。</w:t>
      </w:r>
      <w:r>
        <w:rPr>
          <w:rFonts w:hint="eastAsia" w:ascii="仿宋_GB2312" w:hAnsi="仿宋_GB2312" w:eastAsia="仿宋_GB2312" w:cs="仿宋_GB2312"/>
          <w:color w:val="auto"/>
          <w:sz w:val="32"/>
          <w:szCs w:val="32"/>
          <w:lang w:val="en-US" w:eastAsia="zh-CN" w:bidi="ar-SA"/>
        </w:rPr>
        <w:t>构建完善“粤菜师傅”人才体系，加快建设一批高质量“粤菜师傅”培训基地、大师工作室和乡村特色培训点，加强“粤菜师傅+抖音”并给予适当资金扶持。充分发挥职业院校和餐饮行业企业培训主体作用，推进“粤菜师傅+抖音”等云培训模式，大规模开展“粤菜师傅”培养培训。建立健全“粤菜师傅”标准体系，创新开发一批“汕尾特色”“粤菜师傅”专项职业能力和课程标准，推动形成“汕尾风味菜”菜品标准。积极构建“粤菜师傅”文化体系，创新打造“吃在汕尾”系列主题宣传片、纪录片等，持续举办“吃在汕尾”系列“粤菜师傅”活动，提升“粤菜师傅”品牌影响力。推进二马路“粤菜师傅美食一条街”改造，将“粤菜师傅美食一条街”打造成“粤菜师傅”培养示范基地、产业促进平台、综合服务平台、工程交流合作平台等“一基地三平台”。到2025年，全区开展“粤菜师傅”培训1000人次以上，带动2500人以上实现就业创业。</w:t>
      </w:r>
    </w:p>
    <w:p>
      <w:pPr>
        <w:pStyle w:val="20"/>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_GB2312" w:eastAsia="仿宋_GB2312" w:hAnsiTheme="minorEastAsia" w:cstheme="minorBidi"/>
          <w:color w:val="auto"/>
          <w:kern w:val="2"/>
          <w:sz w:val="32"/>
          <w:szCs w:val="32"/>
          <w:lang w:val="en-US" w:eastAsia="zh-CN" w:bidi="ar-SA"/>
        </w:rPr>
      </w:pPr>
      <w:r>
        <w:rPr>
          <w:rFonts w:hint="eastAsia" w:ascii="仿宋_GB2312" w:hAnsi="仿宋_GB2312" w:eastAsia="仿宋_GB2312" w:cs="仿宋_GB2312"/>
          <w:b/>
          <w:color w:val="auto"/>
          <w:sz w:val="32"/>
          <w:szCs w:val="32"/>
        </w:rPr>
        <w:t>推进</w:t>
      </w:r>
      <w:r>
        <w:rPr>
          <w:rFonts w:hint="eastAsia" w:ascii="仿宋_GB2312" w:hAnsi="仿宋_GB2312" w:eastAsia="仿宋_GB2312" w:cs="仿宋_GB2312"/>
          <w:b/>
          <w:color w:val="auto"/>
          <w:sz w:val="32"/>
          <w:szCs w:val="32"/>
          <w:lang w:val="en-US" w:bidi="ar-SA"/>
        </w:rPr>
        <w:t>“南</w:t>
      </w:r>
      <w:r>
        <w:rPr>
          <w:rFonts w:hint="eastAsia" w:ascii="仿宋_GB2312" w:hAnsi="仿宋_GB2312" w:eastAsia="仿宋_GB2312" w:cs="仿宋_GB2312"/>
          <w:b/>
          <w:color w:val="auto"/>
          <w:sz w:val="32"/>
          <w:szCs w:val="32"/>
        </w:rPr>
        <w:t>粤家政</w:t>
      </w:r>
      <w:r>
        <w:rPr>
          <w:rFonts w:hint="eastAsia" w:ascii="仿宋_GB2312" w:hAnsi="仿宋_GB2312" w:eastAsia="仿宋_GB2312" w:cs="仿宋_GB2312"/>
          <w:b/>
          <w:color w:val="auto"/>
          <w:sz w:val="32"/>
          <w:szCs w:val="32"/>
          <w:lang w:val="en-US" w:bidi="ar-SA"/>
        </w:rPr>
        <w:t>”工</w:t>
      </w:r>
      <w:r>
        <w:rPr>
          <w:rFonts w:hint="eastAsia" w:ascii="仿宋_GB2312" w:hAnsi="仿宋_GB2312" w:eastAsia="仿宋_GB2312" w:cs="仿宋_GB2312"/>
          <w:b/>
          <w:color w:val="auto"/>
          <w:sz w:val="32"/>
          <w:szCs w:val="32"/>
        </w:rPr>
        <w:t>程提质扩容。</w:t>
      </w:r>
      <w:r>
        <w:rPr>
          <w:rFonts w:hint="eastAsia" w:ascii="仿宋_GB2312" w:hAnsi="仿宋_GB2312" w:eastAsia="仿宋_GB2312" w:cs="仿宋_GB2312"/>
          <w:color w:val="auto"/>
          <w:sz w:val="32"/>
          <w:szCs w:val="32"/>
        </w:rPr>
        <w:t>加强对家政服务业从业人员的培训工作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充分发挥政府职能，培育、完善家政服务市场，推进家政服务业的产业化。</w:t>
      </w:r>
      <w:r>
        <w:rPr>
          <w:rFonts w:hint="eastAsia" w:ascii="仿宋_GB2312" w:hAnsi="仿宋_GB2312" w:eastAsia="仿宋_GB2312" w:cs="仿宋_GB2312"/>
          <w:color w:val="auto"/>
          <w:sz w:val="32"/>
          <w:szCs w:val="32"/>
          <w:lang w:eastAsia="zh-CN"/>
        </w:rPr>
        <w:t>引导本地区家政企业加入</w:t>
      </w:r>
      <w:r>
        <w:rPr>
          <w:rFonts w:hint="eastAsia" w:ascii="仿宋_GB2312" w:hAnsi="仿宋_GB2312" w:eastAsia="仿宋_GB2312" w:cs="仿宋_GB2312"/>
          <w:color w:val="auto"/>
          <w:sz w:val="32"/>
          <w:szCs w:val="32"/>
        </w:rPr>
        <w:t>汕尾家政服务协会，规范家政服务企业和从业人员的管理制度和行为。利用“互联网+”技术，通过建立家政企业和从业人员诚信制度，推出家政从业人员“诚信服务卡”，并推广“持证上岗”，不断完善家政企业和家政服务员信用信息记录，提高家政企业和家政服务员的整体信用水平，推动家政服务业规范化、标准化、品牌化、智能化发展。</w:t>
      </w:r>
      <w:r>
        <w:rPr>
          <w:rFonts w:hint="eastAsia" w:ascii="仿宋_GB2312" w:eastAsia="仿宋_GB2312" w:hAnsiTheme="minorEastAsia" w:cstheme="minorBidi"/>
          <w:color w:val="auto"/>
          <w:kern w:val="2"/>
          <w:sz w:val="32"/>
          <w:szCs w:val="32"/>
          <w:lang w:val="en-US" w:eastAsia="zh-CN" w:bidi="ar-SA"/>
        </w:rPr>
        <w:t>通过“南粤家政”基层家政服务站，带动家政服务就业创业，建设家政示范社区。</w:t>
      </w:r>
      <w:r>
        <w:rPr>
          <w:rFonts w:hint="eastAsia" w:ascii="仿宋_GB2312" w:eastAsia="仿宋_GB2312" w:hAnsiTheme="minorEastAsia" w:cstheme="minorBidi"/>
          <w:color w:val="auto"/>
          <w:sz w:val="32"/>
          <w:szCs w:val="32"/>
          <w:lang w:val="en-US" w:eastAsia="zh-CN" w:bidi="ar-SA"/>
        </w:rPr>
        <w:t>到2025年，全区开展“南粤家政”培训1000人次以上，带动1000人以上实现就业创业。</w:t>
      </w:r>
    </w:p>
    <w:p>
      <w:pPr>
        <w:pStyle w:val="20"/>
        <w:keepLines w:val="0"/>
        <w:pageBreakBefore w:val="0"/>
        <w:kinsoku/>
        <w:wordWrap/>
        <w:overflowPunct/>
        <w:topLinePunct w:val="0"/>
        <w:autoSpaceDE/>
        <w:autoSpaceDN/>
        <w:bidi w:val="0"/>
        <w:snapToGrid w:val="0"/>
        <w:spacing w:before="0" w:beforeAutospacing="0" w:after="0" w:afterAutospacing="0" w:line="560" w:lineRule="exact"/>
        <w:ind w:firstLine="643" w:firstLineChars="200"/>
        <w:jc w:val="left"/>
        <w:textAlignment w:val="baseline"/>
        <w:rPr>
          <w:rFonts w:ascii="仿宋_GB2312" w:hAnsi="仿宋_GB2312" w:eastAsia="仿宋_GB2312" w:cs="仿宋_GB2312"/>
          <w:b w:val="0"/>
          <w:i w:val="0"/>
          <w:caps w:val="0"/>
          <w:color w:val="auto"/>
          <w:spacing w:val="0"/>
          <w:w w:val="100"/>
          <w:sz w:val="32"/>
          <w:szCs w:val="32"/>
          <w:lang w:eastAsia="zh-CN"/>
        </w:rPr>
      </w:pPr>
      <w:r>
        <w:rPr>
          <w:rFonts w:hint="eastAsia" w:ascii="仿宋_GB2312" w:hAnsi="仿宋_GB2312" w:eastAsia="仿宋_GB2312" w:cs="仿宋_GB2312"/>
          <w:b/>
          <w:color w:val="auto"/>
          <w:sz w:val="32"/>
          <w:szCs w:val="32"/>
          <w:lang w:val="en-US" w:eastAsia="zh-CN"/>
        </w:rPr>
        <w:t>实施“乡村工匠”工程。</w:t>
      </w:r>
      <w:r>
        <w:rPr>
          <w:rFonts w:hint="eastAsia" w:ascii="仿宋_GB2312" w:hAnsi="仿宋_GB2312" w:eastAsia="仿宋_GB2312" w:cs="仿宋_GB2312"/>
          <w:b w:val="0"/>
          <w:i w:val="0"/>
          <w:caps w:val="0"/>
          <w:color w:val="auto"/>
          <w:spacing w:val="0"/>
          <w:w w:val="100"/>
          <w:sz w:val="32"/>
          <w:szCs w:val="32"/>
          <w:lang w:val="en-US" w:eastAsia="zh-CN"/>
        </w:rPr>
        <w:t>加强“乡村工匠”实用技能人才职业教育和职业技能培训，建设乡村建筑工匠、特色农产品栽培、农产品食品加工与质量安全等乡村工匠专业。支持院校、企业与农村合作社等合作培养“乡村工匠”。建立健全的乡村工匠培养标准和技能评价体系，支持乡村工匠参与职称评定。开展乡村工匠职业技能竞赛，选树乡村工匠典型。对乡村工匠创业人员及其创办的经营主体，按规定申请享受就业创业扶持优惠政策。</w:t>
      </w:r>
    </w:p>
    <w:p>
      <w:pPr>
        <w:pStyle w:val="20"/>
        <w:keepLines w:val="0"/>
        <w:pageBreakBefore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rPr>
        <w:t>扎实推进“农村电商”工程。</w:t>
      </w:r>
      <w:r>
        <w:rPr>
          <w:rFonts w:hint="eastAsia" w:ascii="仿宋_GB2312" w:hAnsi="仿宋_GB2312" w:eastAsia="仿宋_GB2312" w:cs="仿宋_GB2312"/>
          <w:color w:val="auto"/>
          <w:sz w:val="32"/>
          <w:szCs w:val="32"/>
        </w:rPr>
        <w:t>加强农村电商培训，加大农</w:t>
      </w:r>
      <w:r>
        <w:rPr>
          <w:rFonts w:hint="eastAsia" w:ascii="仿宋_GB2312" w:hAnsi="仿宋_GB2312" w:eastAsia="仿宋_GB2312" w:cs="仿宋_GB2312"/>
          <w:color w:val="auto"/>
          <w:sz w:val="32"/>
          <w:szCs w:val="32"/>
          <w:lang w:val="en-US" w:eastAsia="zh-CN"/>
        </w:rPr>
        <w:t>村技能人才培养力度，推动我区职业学校开设电子商务专业，深化校企合作，建立适应农村电商需求的人才培训体系。强化农村电商政策扶持，优化农村电商公共创业就业服务，加速建设农村电子商务综合服务平台、配送服务中心和农村服务点，为农村电商创业就业提供技术和信息服务，运用5G及短视频赋能农村电商发展。</w:t>
      </w: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Cambria" w:hAnsi="Cambria" w:eastAsia="楷体_GB2312"/>
          <w:color w:val="auto"/>
          <w:sz w:val="34"/>
        </w:rPr>
      </w:pPr>
      <w:bookmarkStart w:id="57" w:name="_Toc10472"/>
      <w:bookmarkStart w:id="58" w:name="_Toc364"/>
      <w:r>
        <w:rPr>
          <w:rFonts w:hint="eastAsia" w:ascii="Cambria" w:hAnsi="Cambria" w:eastAsia="楷体_GB2312"/>
          <w:color w:val="auto"/>
          <w:sz w:val="34"/>
        </w:rPr>
        <w:t>第四节  完善人才公共服务体系</w:t>
      </w:r>
      <w:bookmarkEnd w:id="57"/>
      <w:bookmarkEnd w:id="58"/>
    </w:p>
    <w:p>
      <w:pPr>
        <w:keepLines w:val="0"/>
        <w:pageBreakBefore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bidi="zh-TW"/>
        </w:rPr>
        <w:t>创新人才服务管理政策。</w:t>
      </w:r>
      <w:r>
        <w:rPr>
          <w:rFonts w:hint="eastAsia" w:ascii="仿宋_GB2312" w:hAnsi="仿宋_GB2312" w:eastAsia="仿宋_GB2312" w:cs="仿宋_GB2312"/>
          <w:color w:val="auto"/>
          <w:sz w:val="32"/>
          <w:szCs w:val="32"/>
        </w:rPr>
        <w:t>推进出台急需紧缺高层次人才配套政策，探索建立我区高层次人才服务办法、柔性引进高层次人才办法和本土人才培育办法。发挥市场评价主体的作用，加大创新创业人才引进力度。加强人才供需状况监测，定期发布汕尾市城区急需紧缺高层次导向目录。探索企事业单位工作人员双向交流机制，鼓励</w:t>
      </w:r>
      <w:r>
        <w:rPr>
          <w:rFonts w:hint="eastAsia" w:ascii="仿宋_GB2312" w:hAnsi="仿宋_GB2312" w:eastAsia="仿宋_GB2312" w:cs="仿宋_GB2312"/>
          <w:b w:val="0"/>
          <w:bCs w:val="0"/>
          <w:color w:val="auto"/>
          <w:sz w:val="32"/>
          <w:szCs w:val="32"/>
        </w:rPr>
        <w:t>我区科研院所等事业单位科研</w:t>
      </w:r>
      <w:r>
        <w:rPr>
          <w:rFonts w:hint="eastAsia" w:ascii="仿宋_GB2312" w:hAnsi="仿宋_GB2312" w:eastAsia="仿宋_GB2312" w:cs="仿宋_GB2312"/>
          <w:color w:val="auto"/>
          <w:sz w:val="32"/>
          <w:szCs w:val="32"/>
        </w:rPr>
        <w:t>人员离岗创业。探索实行特设岗位、购买服务等方式，拓宽体制外人员流向事业单位参与科技创新的途径。推行事业单位人事制度综合配套改革，实行岗位管理和单位自主用人。发挥政府、市场、专业组织、用人单位等多元评价主体作用，建立多维度人才评价标准，探索建立高层次人才积分制认定办法，对人才进行综合量化评价。</w:t>
      </w:r>
    </w:p>
    <w:p>
      <w:pPr>
        <w:keepLines w:val="0"/>
        <w:pageBreakBefore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bidi="zh-TW"/>
        </w:rPr>
        <w:t>优化提升人才服务水平。</w:t>
      </w:r>
      <w:bookmarkStart w:id="59" w:name="_Toc338"/>
      <w:bookmarkStart w:id="60" w:name="_Toc16817"/>
      <w:r>
        <w:rPr>
          <w:rFonts w:hint="eastAsia" w:ascii="仿宋_GB2312" w:hAnsi="仿宋_GB2312" w:eastAsia="仿宋_GB2312" w:cs="仿宋_GB2312"/>
          <w:color w:val="auto"/>
          <w:sz w:val="32"/>
          <w:szCs w:val="32"/>
        </w:rPr>
        <w:t>推进高层次人才服务专区建设</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color w:val="auto"/>
          <w:sz w:val="32"/>
          <w:szCs w:val="32"/>
        </w:rPr>
        <w:t>夯实人才创新创业平台载体，健全高层次人才“一站式”服务平台，</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做好高层次人才服务对接，促进高层次人才成果转化落地。探索引进人力资源服务机构和风险投资机构</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参与高层次人才的市场化评价。在市的统一部署下，整合优化赴市外招聘人才工作，建立统一的招聘平台。完善高层次人才安居办法，增加新引进人才租房补贴额度。</w:t>
      </w:r>
    </w:p>
    <w:p>
      <w:pPr>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auto"/>
          <w:sz w:val="32"/>
          <w:szCs w:val="32"/>
          <w:lang w:bidi="zh-TW"/>
        </w:rPr>
      </w:pPr>
      <w:r>
        <w:rPr>
          <w:rFonts w:hint="eastAsia" w:ascii="仿宋_GB2312" w:hAnsi="仿宋_GB2312" w:eastAsia="仿宋_GB2312" w:cs="仿宋_GB2312"/>
          <w:b/>
          <w:color w:val="auto"/>
          <w:sz w:val="32"/>
          <w:szCs w:val="32"/>
          <w:lang w:bidi="zh-TW"/>
        </w:rPr>
        <w:t>不断规范表彰奖励</w:t>
      </w:r>
      <w:bookmarkEnd w:id="59"/>
      <w:bookmarkEnd w:id="60"/>
      <w:r>
        <w:rPr>
          <w:rFonts w:hint="eastAsia" w:ascii="仿宋_GB2312" w:hAnsi="仿宋_GB2312" w:eastAsia="仿宋_GB2312" w:cs="仿宋_GB2312"/>
          <w:b/>
          <w:color w:val="auto"/>
          <w:sz w:val="32"/>
          <w:szCs w:val="32"/>
          <w:lang w:bidi="zh-TW"/>
        </w:rPr>
        <w:t>。</w:t>
      </w:r>
      <w:r>
        <w:rPr>
          <w:rFonts w:hint="eastAsia" w:ascii="仿宋_GB2312" w:hAnsi="仿宋_GB2312" w:eastAsia="仿宋_GB2312" w:cs="仿宋_GB2312"/>
          <w:color w:val="auto"/>
          <w:sz w:val="32"/>
          <w:szCs w:val="32"/>
          <w:lang w:bidi="zh-TW"/>
        </w:rPr>
        <w:t>全面贯彻落实党中央、国务院</w:t>
      </w:r>
      <w:r>
        <w:rPr>
          <w:rFonts w:hint="eastAsia" w:ascii="仿宋_GB2312" w:hAnsi="仿宋_GB2312" w:eastAsia="仿宋_GB2312" w:cs="仿宋_GB2312"/>
          <w:color w:val="auto"/>
          <w:sz w:val="32"/>
          <w:szCs w:val="32"/>
          <w:lang w:eastAsia="zh-CN" w:bidi="zh-TW"/>
        </w:rPr>
        <w:t>、</w:t>
      </w:r>
      <w:r>
        <w:rPr>
          <w:rFonts w:hint="eastAsia" w:ascii="仿宋_GB2312" w:hAnsi="仿宋_GB2312" w:eastAsia="仿宋_GB2312" w:cs="仿宋_GB2312"/>
          <w:color w:val="auto"/>
          <w:sz w:val="32"/>
          <w:szCs w:val="32"/>
          <w:lang w:bidi="zh-TW"/>
        </w:rPr>
        <w:t>省委、省政府</w:t>
      </w:r>
      <w:r>
        <w:rPr>
          <w:rFonts w:hint="eastAsia" w:ascii="仿宋_GB2312" w:hAnsi="仿宋_GB2312" w:eastAsia="仿宋_GB2312" w:cs="仿宋_GB2312"/>
          <w:color w:val="auto"/>
          <w:sz w:val="32"/>
          <w:szCs w:val="32"/>
          <w:lang w:eastAsia="zh-CN" w:bidi="zh-TW"/>
        </w:rPr>
        <w:t>和市委、市政府</w:t>
      </w:r>
      <w:r>
        <w:rPr>
          <w:rFonts w:hint="eastAsia" w:ascii="仿宋_GB2312" w:hAnsi="仿宋_GB2312" w:eastAsia="仿宋_GB2312" w:cs="仿宋_GB2312"/>
          <w:color w:val="auto"/>
          <w:sz w:val="32"/>
          <w:szCs w:val="32"/>
          <w:lang w:bidi="zh-TW"/>
        </w:rPr>
        <w:t>各项功勋荣誉和表彰奖励工作部署，加强对全</w:t>
      </w:r>
      <w:r>
        <w:rPr>
          <w:rFonts w:hint="eastAsia" w:ascii="仿宋_GB2312" w:hAnsi="仿宋_GB2312" w:eastAsia="仿宋_GB2312" w:cs="仿宋_GB2312"/>
          <w:color w:val="auto"/>
          <w:sz w:val="32"/>
          <w:szCs w:val="32"/>
          <w:lang w:eastAsia="zh-CN" w:bidi="zh-TW"/>
        </w:rPr>
        <w:t>区</w:t>
      </w:r>
      <w:r>
        <w:rPr>
          <w:rFonts w:hint="eastAsia" w:ascii="仿宋_GB2312" w:hAnsi="仿宋_GB2312" w:eastAsia="仿宋_GB2312" w:cs="仿宋_GB2312"/>
          <w:color w:val="auto"/>
          <w:sz w:val="32"/>
          <w:szCs w:val="32"/>
          <w:lang w:bidi="zh-TW"/>
        </w:rPr>
        <w:t>各单位的业务指导，严格按照《国家功勋荣誉表彰条例》《评比达标表彰活动管理办法》等有关规定，履行“一推两审三公示”等表彰评选工作程序，确保表彰工作有序合规开展。按照</w:t>
      </w:r>
      <w:r>
        <w:rPr>
          <w:rFonts w:hint="eastAsia" w:ascii="仿宋_GB2312" w:hAnsi="仿宋_GB2312" w:eastAsia="仿宋_GB2312" w:cs="仿宋_GB2312"/>
          <w:color w:val="auto"/>
          <w:sz w:val="32"/>
          <w:szCs w:val="32"/>
          <w:lang w:eastAsia="zh-CN" w:bidi="zh-TW"/>
        </w:rPr>
        <w:t>市</w:t>
      </w:r>
      <w:r>
        <w:rPr>
          <w:rFonts w:hint="eastAsia" w:ascii="仿宋_GB2312" w:hAnsi="仿宋_GB2312" w:eastAsia="仿宋_GB2312" w:cs="仿宋_GB2312"/>
          <w:color w:val="auto"/>
          <w:sz w:val="32"/>
          <w:szCs w:val="32"/>
          <w:lang w:bidi="zh-TW"/>
        </w:rPr>
        <w:t>表彰办的工作安排，完善新设立评比达标表彰项目的报批机制</w:t>
      </w:r>
      <w:r>
        <w:rPr>
          <w:rFonts w:hint="eastAsia" w:ascii="仿宋_GB2312" w:hAnsi="仿宋_GB2312" w:eastAsia="仿宋_GB2312" w:cs="仿宋_GB2312"/>
          <w:color w:val="auto"/>
          <w:sz w:val="32"/>
          <w:szCs w:val="32"/>
          <w:lang w:eastAsia="zh-CN" w:bidi="zh-TW"/>
        </w:rPr>
        <w:t>，</w:t>
      </w:r>
      <w:r>
        <w:rPr>
          <w:rFonts w:hint="eastAsia" w:ascii="仿宋_GB2312" w:hAnsi="仿宋_GB2312" w:eastAsia="仿宋_GB2312" w:cs="仿宋_GB2312"/>
          <w:color w:val="auto"/>
          <w:sz w:val="32"/>
          <w:szCs w:val="32"/>
          <w:lang w:bidi="zh-TW"/>
        </w:rPr>
        <w:t>加强对评比达标表彰活动的监督管理。指导各单位做好每年年度表彰项目的申报。配合宣传部门加大对表彰奖励获得者事迹的宣传力度，营造尊崇模范、争做先锋的良好氛围。</w:t>
      </w:r>
    </w:p>
    <w:p>
      <w:pPr>
        <w:rPr>
          <w:rFonts w:hint="eastAsia" w:ascii="仿宋_GB2312" w:hAnsi="仿宋_GB2312" w:eastAsia="仿宋_GB2312" w:cs="仿宋_GB2312"/>
          <w:color w:val="auto"/>
          <w:sz w:val="32"/>
          <w:szCs w:val="32"/>
          <w:lang w:bidi="zh-TW"/>
        </w:rPr>
      </w:pPr>
    </w:p>
    <w:p>
      <w:pPr>
        <w:pStyle w:val="2"/>
        <w:rPr>
          <w:rFonts w:hint="eastAsia" w:ascii="仿宋_GB2312" w:hAnsi="仿宋_GB2312" w:eastAsia="仿宋_GB2312" w:cs="仿宋_GB2312"/>
          <w:color w:val="auto"/>
          <w:sz w:val="32"/>
          <w:szCs w:val="32"/>
          <w:lang w:bidi="zh-TW"/>
        </w:rPr>
      </w:pPr>
    </w:p>
    <w:p>
      <w:pPr>
        <w:rPr>
          <w:rFonts w:hint="eastAsia" w:ascii="仿宋_GB2312" w:hAnsi="仿宋_GB2312" w:eastAsia="仿宋_GB2312" w:cs="仿宋_GB2312"/>
          <w:color w:val="auto"/>
          <w:sz w:val="32"/>
          <w:szCs w:val="32"/>
          <w:lang w:bidi="zh-TW"/>
        </w:rPr>
      </w:pPr>
    </w:p>
    <w:p>
      <w:pPr>
        <w:pStyle w:val="2"/>
        <w:rPr>
          <w:rFonts w:hint="eastAsia" w:ascii="仿宋_GB2312" w:hAnsi="仿宋_GB2312" w:eastAsia="仿宋_GB2312" w:cs="仿宋_GB2312"/>
          <w:color w:val="auto"/>
          <w:sz w:val="32"/>
          <w:szCs w:val="32"/>
          <w:lang w:bidi="zh-TW"/>
        </w:rPr>
      </w:pPr>
    </w:p>
    <w:p>
      <w:pPr>
        <w:rPr>
          <w:rFonts w:hint="eastAsia" w:ascii="仿宋_GB2312" w:hAnsi="仿宋_GB2312" w:eastAsia="仿宋_GB2312" w:cs="仿宋_GB2312"/>
          <w:color w:val="auto"/>
          <w:sz w:val="32"/>
          <w:szCs w:val="32"/>
          <w:lang w:bidi="zh-TW"/>
        </w:rPr>
      </w:pPr>
    </w:p>
    <w:p>
      <w:pPr>
        <w:pStyle w:val="2"/>
        <w:rPr>
          <w:rFonts w:hint="eastAsia" w:ascii="仿宋_GB2312" w:hAnsi="仿宋_GB2312" w:eastAsia="仿宋_GB2312" w:cs="仿宋_GB2312"/>
          <w:color w:val="auto"/>
          <w:sz w:val="32"/>
          <w:szCs w:val="32"/>
          <w:lang w:bidi="zh-TW"/>
        </w:rPr>
      </w:pPr>
    </w:p>
    <w:p>
      <w:pPr>
        <w:rPr>
          <w:rFonts w:hint="eastAsia" w:ascii="仿宋_GB2312" w:hAnsi="仿宋_GB2312" w:eastAsia="仿宋_GB2312" w:cs="仿宋_GB2312"/>
          <w:color w:val="auto"/>
          <w:sz w:val="32"/>
          <w:szCs w:val="32"/>
          <w:lang w:bidi="zh-TW"/>
        </w:rPr>
      </w:pPr>
    </w:p>
    <w:p>
      <w:pPr>
        <w:pStyle w:val="2"/>
        <w:rPr>
          <w:rFonts w:hint="eastAsia" w:ascii="仿宋_GB2312" w:hAnsi="仿宋_GB2312" w:eastAsia="仿宋_GB2312" w:cs="仿宋_GB2312"/>
          <w:color w:val="auto"/>
          <w:sz w:val="32"/>
          <w:szCs w:val="32"/>
          <w:lang w:bidi="zh-TW"/>
        </w:rPr>
      </w:pPr>
    </w:p>
    <w:p>
      <w:pPr>
        <w:rPr>
          <w:rFonts w:hint="eastAsia" w:ascii="仿宋_GB2312" w:hAnsi="仿宋_GB2312" w:eastAsia="仿宋_GB2312" w:cs="仿宋_GB2312"/>
          <w:color w:val="auto"/>
          <w:sz w:val="32"/>
          <w:szCs w:val="32"/>
          <w:lang w:bidi="zh-TW"/>
        </w:rPr>
      </w:pPr>
    </w:p>
    <w:p>
      <w:pPr>
        <w:pStyle w:val="2"/>
        <w:rPr>
          <w:rFonts w:hint="eastAsia" w:ascii="仿宋_GB2312" w:hAnsi="仿宋_GB2312" w:eastAsia="仿宋_GB2312" w:cs="仿宋_GB2312"/>
          <w:color w:val="auto"/>
          <w:sz w:val="32"/>
          <w:szCs w:val="32"/>
          <w:lang w:bidi="zh-TW"/>
        </w:rPr>
      </w:pPr>
    </w:p>
    <w:p>
      <w:pPr>
        <w:rPr>
          <w:rFonts w:hint="eastAsia" w:ascii="仿宋_GB2312" w:hAnsi="仿宋_GB2312" w:eastAsia="仿宋_GB2312" w:cs="仿宋_GB2312"/>
          <w:color w:val="auto"/>
          <w:sz w:val="32"/>
          <w:szCs w:val="32"/>
          <w:lang w:bidi="zh-TW"/>
        </w:rPr>
      </w:pPr>
    </w:p>
    <w:p>
      <w:pPr>
        <w:pStyle w:val="2"/>
        <w:rPr>
          <w:rFonts w:hint="eastAsia" w:ascii="仿宋_GB2312" w:hAnsi="仿宋_GB2312" w:eastAsia="仿宋_GB2312" w:cs="仿宋_GB2312"/>
          <w:color w:val="auto"/>
          <w:sz w:val="32"/>
          <w:szCs w:val="32"/>
          <w:lang w:bidi="zh-TW"/>
        </w:rPr>
      </w:pPr>
    </w:p>
    <w:p>
      <w:pPr>
        <w:rPr>
          <w:rFonts w:hint="eastAsia" w:ascii="仿宋_GB2312" w:hAnsi="仿宋_GB2312" w:eastAsia="仿宋_GB2312" w:cs="仿宋_GB2312"/>
          <w:color w:val="auto"/>
          <w:sz w:val="32"/>
          <w:szCs w:val="32"/>
          <w:lang w:bidi="zh-TW"/>
        </w:rPr>
      </w:pPr>
    </w:p>
    <w:p>
      <w:pPr>
        <w:pStyle w:val="2"/>
        <w:rPr>
          <w:rFonts w:hint="eastAsia" w:ascii="仿宋_GB2312" w:hAnsi="仿宋_GB2312" w:eastAsia="仿宋_GB2312" w:cs="仿宋_GB2312"/>
          <w:color w:val="auto"/>
          <w:sz w:val="32"/>
          <w:szCs w:val="32"/>
          <w:lang w:bidi="zh-TW"/>
        </w:rPr>
      </w:pPr>
    </w:p>
    <w:p>
      <w:pPr>
        <w:rPr>
          <w:rFonts w:hint="eastAsia" w:ascii="仿宋_GB2312" w:hAnsi="仿宋_GB2312" w:eastAsia="仿宋_GB2312" w:cs="仿宋_GB2312"/>
          <w:color w:val="auto"/>
          <w:sz w:val="32"/>
          <w:szCs w:val="32"/>
          <w:lang w:bidi="zh-TW"/>
        </w:rPr>
      </w:pPr>
    </w:p>
    <w:p>
      <w:pPr>
        <w:pStyle w:val="2"/>
        <w:rPr>
          <w:rFonts w:hint="eastAsia" w:ascii="仿宋_GB2312" w:hAnsi="仿宋_GB2312" w:eastAsia="仿宋_GB2312" w:cs="仿宋_GB2312"/>
          <w:color w:val="auto"/>
          <w:sz w:val="32"/>
          <w:szCs w:val="32"/>
          <w:lang w:bidi="zh-TW"/>
        </w:rPr>
      </w:pPr>
    </w:p>
    <w:p>
      <w:pPr>
        <w:rPr>
          <w:rFonts w:hint="eastAsia"/>
        </w:rPr>
      </w:pPr>
    </w:p>
    <w:p>
      <w:pPr>
        <w:pStyle w:val="2"/>
        <w:rPr>
          <w:rFonts w:hint="eastAsia"/>
        </w:rPr>
      </w:pPr>
    </w:p>
    <w:p>
      <w:pPr>
        <w:pStyle w:val="2"/>
        <w:rPr>
          <w:rFonts w:hint="eastAsia"/>
        </w:rPr>
      </w:pPr>
    </w:p>
    <w:bookmarkEnd w:id="50"/>
    <w:p>
      <w:pPr>
        <w:pStyle w:val="3"/>
        <w:keepLines w:val="0"/>
        <w:pageBreakBefore w:val="0"/>
        <w:numPr>
          <w:ilvl w:val="0"/>
          <w:numId w:val="1"/>
        </w:numPr>
        <w:kinsoku/>
        <w:wordWrap/>
        <w:overflowPunct/>
        <w:topLinePunct w:val="0"/>
        <w:autoSpaceDE/>
        <w:autoSpaceDN/>
        <w:bidi w:val="0"/>
        <w:adjustRightInd w:val="0"/>
        <w:snapToGrid w:val="0"/>
        <w:spacing w:before="120" w:beforeLines="50" w:after="120" w:afterLines="50" w:line="560" w:lineRule="exact"/>
        <w:jc w:val="center"/>
        <w:rPr>
          <w:rFonts w:hint="eastAsia" w:ascii="Calibri" w:hAnsi="Calibri" w:eastAsia="黑体"/>
          <w:sz w:val="44"/>
          <w:szCs w:val="44"/>
          <w:lang w:val="en-US" w:eastAsia="zh-CN"/>
        </w:rPr>
      </w:pPr>
      <w:bookmarkStart w:id="61" w:name="_Toc20542"/>
      <w:bookmarkStart w:id="62" w:name="_Toc5528"/>
      <w:r>
        <w:rPr>
          <w:rFonts w:hint="eastAsia" w:ascii="Calibri" w:hAnsi="Calibri" w:eastAsia="黑体"/>
          <w:sz w:val="44"/>
          <w:szCs w:val="44"/>
          <w:lang w:val="en-US" w:eastAsia="zh-CN"/>
        </w:rPr>
        <w:t xml:space="preserve"> </w:t>
      </w:r>
      <w:bookmarkStart w:id="63" w:name="_Toc7225"/>
      <w:r>
        <w:rPr>
          <w:rFonts w:hint="eastAsia" w:ascii="Calibri" w:hAnsi="Calibri" w:eastAsia="黑体"/>
          <w:sz w:val="44"/>
          <w:szCs w:val="44"/>
          <w:lang w:val="en-US" w:eastAsia="zh-CN"/>
        </w:rPr>
        <w:t>提高</w:t>
      </w:r>
      <w:r>
        <w:rPr>
          <w:rFonts w:ascii="Calibri" w:hAnsi="Calibri" w:eastAsia="黑体"/>
          <w:sz w:val="44"/>
          <w:szCs w:val="44"/>
          <w:lang w:val="en-US" w:eastAsia="zh-CN"/>
        </w:rPr>
        <w:t>事业单</w:t>
      </w:r>
      <w:bookmarkEnd w:id="61"/>
      <w:r>
        <w:rPr>
          <w:rFonts w:ascii="Calibri" w:hAnsi="Calibri" w:eastAsia="黑体"/>
          <w:sz w:val="44"/>
          <w:szCs w:val="44"/>
          <w:lang w:val="en-US" w:eastAsia="zh-CN"/>
        </w:rPr>
        <w:t>位</w:t>
      </w:r>
      <w:r>
        <w:rPr>
          <w:rFonts w:hint="eastAsia" w:ascii="Calibri" w:hAnsi="Calibri" w:eastAsia="黑体"/>
          <w:sz w:val="44"/>
          <w:szCs w:val="44"/>
          <w:lang w:val="en-US" w:eastAsia="zh-CN"/>
        </w:rPr>
        <w:t>人事管理科学化水平</w:t>
      </w:r>
      <w:bookmarkEnd w:id="62"/>
      <w:bookmarkEnd w:id="63"/>
      <w:bookmarkStart w:id="64" w:name="_Toc16094"/>
    </w:p>
    <w:p>
      <w:pPr>
        <w:rPr>
          <w:rFonts w:hint="eastAsia"/>
          <w:lang w:val="en-US" w:eastAsia="zh-CN"/>
        </w:rPr>
      </w:pPr>
    </w:p>
    <w:p>
      <w:pPr>
        <w:numPr>
          <w:ilvl w:val="0"/>
          <w:numId w:val="0"/>
        </w:numPr>
      </w:pPr>
    </w:p>
    <w:p>
      <w:pPr>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lang w:bidi="zh-TW"/>
        </w:rPr>
      </w:pPr>
      <w:r>
        <w:rPr>
          <w:rFonts w:hint="eastAsia" w:ascii="仿宋_GB2312" w:hAnsi="仿宋_GB2312" w:eastAsia="仿宋_GB2312" w:cs="仿宋_GB2312"/>
          <w:sz w:val="32"/>
          <w:szCs w:val="32"/>
          <w:lang w:bidi="zh-TW"/>
        </w:rPr>
        <w:t>以加快建立政事分开、事企分开、管办分离的事业单位人事管理体制机制为目标，坚持放管结合并重，完善制度规范，健全约束机制，强化正向激励。提高治理效能，建立充满生机与活力的新时代事业单位选人用人机制，提高事业单位人事管理的法制化、科学化水平。</w:t>
      </w: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Cambria" w:hAnsi="Cambria" w:eastAsia="楷体_GB2312"/>
          <w:color w:val="000000"/>
          <w:sz w:val="34"/>
        </w:rPr>
      </w:pPr>
      <w:bookmarkStart w:id="65" w:name="_Toc27872"/>
      <w:bookmarkStart w:id="66" w:name="_Toc15333"/>
      <w:r>
        <w:rPr>
          <w:rFonts w:ascii="Cambria" w:hAnsi="Cambria" w:eastAsia="楷体_GB2312"/>
          <w:color w:val="000000"/>
          <w:sz w:val="34"/>
        </w:rPr>
        <w:t>第一节</w:t>
      </w:r>
      <w:r>
        <w:rPr>
          <w:rFonts w:hint="eastAsia" w:ascii="Cambria" w:hAnsi="Cambria" w:eastAsia="楷体_GB2312"/>
          <w:color w:val="000000"/>
          <w:sz w:val="34"/>
        </w:rPr>
        <w:t xml:space="preserve">  深化事业单位人事制度改革</w:t>
      </w:r>
      <w:bookmarkEnd w:id="65"/>
      <w:bookmarkEnd w:id="66"/>
    </w:p>
    <w:p>
      <w:pPr>
        <w:keepLines w:val="0"/>
        <w:pageBreakBefore w:val="0"/>
        <w:kinsoku/>
        <w:wordWrap/>
        <w:overflowPunct/>
        <w:topLinePunct w:val="0"/>
        <w:autoSpaceDE/>
        <w:autoSpaceDN/>
        <w:bidi w:val="0"/>
        <w:adjustRightInd w:val="0"/>
        <w:snapToGrid w:val="0"/>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健全岗位设置管理制度</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加快修订文化、教育、卫生等各行业事业单位岗位设置管理实施意见，建立分类、分层、分规模的事业单位专业技术岗位结构比例范围及动态调整机制。逐步取消学校、科研院所、医院等单位行政级别，进一步规范设置学校、科研院所、医院等事业单位岗位设置。</w:t>
      </w:r>
    </w:p>
    <w:p>
      <w:pPr>
        <w:keepLines w:val="0"/>
        <w:pageBreakBefore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sz w:val="32"/>
          <w:szCs w:val="32"/>
          <w:lang w:bidi="zh-TW"/>
        </w:rPr>
        <w:t>完善事业单位公开招聘和聘用制度。</w:t>
      </w:r>
      <w:r>
        <w:rPr>
          <w:rFonts w:hint="eastAsia" w:ascii="仿宋_GB2312" w:hAnsi="仿宋_GB2312" w:eastAsia="仿宋_GB2312" w:cs="仿宋_GB2312"/>
          <w:color w:val="auto"/>
          <w:sz w:val="32"/>
          <w:szCs w:val="32"/>
        </w:rPr>
        <w:t>积极配合省修订事业单位公开招聘办法，建立健全岗位动态调整机制和考核奖励机制。深化县管校聘、县管乡用、医</w:t>
      </w:r>
      <w:r>
        <w:rPr>
          <w:rFonts w:hint="eastAsia" w:ascii="仿宋_GB2312" w:hAnsi="仿宋_GB2312" w:eastAsia="仿宋_GB2312" w:cs="仿宋_GB2312"/>
          <w:color w:val="auto"/>
          <w:sz w:val="32"/>
          <w:szCs w:val="32"/>
          <w:lang w:eastAsia="zh-CN"/>
        </w:rPr>
        <w:t>联</w:t>
      </w:r>
      <w:r>
        <w:rPr>
          <w:rFonts w:hint="eastAsia" w:ascii="仿宋_GB2312" w:hAnsi="仿宋_GB2312" w:eastAsia="仿宋_GB2312" w:cs="仿宋_GB2312"/>
          <w:color w:val="auto"/>
          <w:sz w:val="32"/>
          <w:szCs w:val="32"/>
        </w:rPr>
        <w:t>体改革，持续优化专项招聘机制，推进事业单位人才资源均衡配置。进一步完善聘用合同制度，发挥聘用合同在人员聘用、待遇、考核、奖惩方面基础性作用。</w:t>
      </w:r>
    </w:p>
    <w:p>
      <w:pPr>
        <w:keepLines w:val="0"/>
        <w:pageBreakBefore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sz w:val="32"/>
          <w:szCs w:val="32"/>
          <w:lang w:bidi="zh-TW"/>
        </w:rPr>
      </w:pPr>
      <w:r>
        <w:rPr>
          <w:rFonts w:hint="eastAsia" w:ascii="仿宋_GB2312" w:hAnsi="仿宋_GB2312" w:eastAsia="仿宋_GB2312" w:cs="仿宋_GB2312"/>
          <w:b/>
          <w:sz w:val="32"/>
          <w:szCs w:val="32"/>
          <w:lang w:bidi="zh-TW"/>
        </w:rPr>
        <w:t>深化科研人员创新创业机制改革。</w:t>
      </w:r>
      <w:r>
        <w:rPr>
          <w:rFonts w:hint="eastAsia" w:ascii="仿宋_GB2312" w:hAnsi="仿宋_GB2312" w:eastAsia="仿宋_GB2312" w:cs="仿宋_GB2312"/>
          <w:sz w:val="32"/>
          <w:szCs w:val="32"/>
          <w:lang w:bidi="zh-TW"/>
        </w:rPr>
        <w:t>充分激发</w:t>
      </w:r>
      <w:r>
        <w:rPr>
          <w:rFonts w:hint="eastAsia" w:ascii="仿宋_GB2312" w:hAnsi="仿宋_GB2312" w:eastAsia="仿宋_GB2312" w:cs="仿宋_GB2312"/>
          <w:sz w:val="32"/>
          <w:szCs w:val="32"/>
          <w:lang w:eastAsia="zh-CN" w:bidi="zh-TW"/>
        </w:rPr>
        <w:t>学校、</w:t>
      </w:r>
      <w:r>
        <w:rPr>
          <w:rFonts w:hint="eastAsia" w:ascii="仿宋_GB2312" w:hAnsi="仿宋_GB2312" w:eastAsia="仿宋_GB2312" w:cs="仿宋_GB2312"/>
          <w:sz w:val="32"/>
          <w:szCs w:val="32"/>
          <w:lang w:bidi="zh-TW"/>
        </w:rPr>
        <w:t>科研院</w:t>
      </w:r>
      <w:r>
        <w:rPr>
          <w:rFonts w:hint="eastAsia" w:ascii="仿宋_GB2312" w:hAnsi="仿宋_GB2312" w:eastAsia="仿宋_GB2312" w:cs="仿宋_GB2312"/>
          <w:color w:val="auto"/>
          <w:sz w:val="32"/>
          <w:szCs w:val="32"/>
          <w:lang w:bidi="zh-TW"/>
        </w:rPr>
        <w:t>所、医院等</w:t>
      </w:r>
      <w:r>
        <w:rPr>
          <w:rFonts w:hint="eastAsia" w:ascii="仿宋_GB2312" w:hAnsi="仿宋_GB2312" w:eastAsia="仿宋_GB2312" w:cs="仿宋_GB2312"/>
          <w:sz w:val="32"/>
          <w:szCs w:val="32"/>
          <w:lang w:bidi="zh-TW"/>
        </w:rPr>
        <w:t>事业单位科研人员科技创新活力和科技成果转化创业热情，全面破解事业单位在编在岗科研人员申请离岗创办企业、在职创办企业和兼职创新过程中的制度束缚与政策障碍，全面取消职称、年龄、资历、科技成果形式、获奖层次、获得专利与否等限制事业单位科研人员投身“双创”的前置性限制。建立健全创新岗位科研人员合法权利及合理利益保障机制，完善绩效工资分配向创新岗位科研人员倾斜机制，实现事业单位科研人员创新创业从局部到整体、从现象到机制的跨越。</w:t>
      </w:r>
    </w:p>
    <w:p>
      <w:pPr>
        <w:keepLines w:val="0"/>
        <w:pageBreakBefore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sz w:val="32"/>
          <w:szCs w:val="32"/>
          <w:lang w:bidi="zh-TW"/>
        </w:rPr>
      </w:pPr>
      <w:r>
        <w:rPr>
          <w:rFonts w:hint="eastAsia" w:ascii="仿宋_GB2312" w:hAnsi="仿宋_GB2312" w:eastAsia="仿宋_GB2312" w:cs="仿宋_GB2312"/>
          <w:b/>
          <w:sz w:val="32"/>
          <w:szCs w:val="32"/>
          <w:lang w:bidi="zh-TW"/>
        </w:rPr>
        <w:t>落实事业单位用人自主权。</w:t>
      </w:r>
      <w:r>
        <w:rPr>
          <w:rFonts w:hint="eastAsia" w:ascii="仿宋_GB2312" w:hAnsi="仿宋_GB2312" w:eastAsia="仿宋_GB2312" w:cs="仿宋_GB2312"/>
          <w:sz w:val="32"/>
          <w:szCs w:val="32"/>
          <w:lang w:bidi="zh-TW"/>
        </w:rPr>
        <w:t>建立以章程管理为依托，推进自主设岗、自主招聘、自主考核、自主评审、自主聘用、自主分配等人事管理改革，赋予面向社会提供公益服务的事业单位更大自主权。</w:t>
      </w: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Cambria" w:hAnsi="Cambria" w:eastAsia="楷体_GB2312"/>
          <w:color w:val="000000"/>
          <w:sz w:val="34"/>
        </w:rPr>
      </w:pPr>
      <w:bookmarkStart w:id="67" w:name="_Toc15082"/>
      <w:bookmarkStart w:id="68" w:name="_Toc10970"/>
      <w:r>
        <w:rPr>
          <w:rFonts w:hint="eastAsia" w:ascii="Cambria" w:hAnsi="Cambria" w:eastAsia="楷体_GB2312"/>
          <w:color w:val="000000"/>
          <w:sz w:val="34"/>
        </w:rPr>
        <w:t>第二节  改革完善事业单位薪酬分配制度</w:t>
      </w:r>
      <w:bookmarkEnd w:id="67"/>
      <w:bookmarkEnd w:id="68"/>
    </w:p>
    <w:p>
      <w:pPr>
        <w:keepLines w:val="0"/>
        <w:pageBreakBefore w:val="0"/>
        <w:kinsoku/>
        <w:wordWrap/>
        <w:overflowPunct/>
        <w:topLinePunct w:val="0"/>
        <w:autoSpaceDE/>
        <w:autoSpaceDN/>
        <w:bidi w:val="0"/>
        <w:spacing w:line="560" w:lineRule="exact"/>
        <w:ind w:firstLine="643" w:firstLineChars="200"/>
        <w:rPr>
          <w:rFonts w:ascii="仿宋_GB2312" w:hAnsi="仿宋_GB2312" w:eastAsia="仿宋_GB2312" w:cs="仿宋_GB2312"/>
          <w:color w:val="auto"/>
          <w:sz w:val="32"/>
          <w:szCs w:val="32"/>
          <w:lang w:bidi="zh-TW"/>
        </w:rPr>
      </w:pPr>
      <w:r>
        <w:rPr>
          <w:rFonts w:hint="eastAsia" w:ascii="仿宋_GB2312" w:hAnsi="仿宋_GB2312" w:eastAsia="仿宋_GB2312" w:cs="仿宋_GB2312"/>
          <w:b/>
          <w:sz w:val="32"/>
          <w:szCs w:val="32"/>
          <w:lang w:bidi="zh-TW"/>
        </w:rPr>
        <w:t>完善事业单位工资制度。</w:t>
      </w:r>
      <w:r>
        <w:rPr>
          <w:rFonts w:hint="eastAsia" w:ascii="仿宋_GB2312" w:hAnsi="仿宋_GB2312" w:eastAsia="仿宋_GB2312" w:cs="仿宋_GB2312"/>
          <w:color w:val="auto"/>
          <w:sz w:val="32"/>
          <w:szCs w:val="32"/>
          <w:lang w:bidi="zh-TW"/>
        </w:rPr>
        <w:t>按照国家和省统一部署，及时调整事业单位工作人员基本工资标准。逐步建立完善事业单位工作人员福利制度。完善区事业单位薪酬分配制度，确保工资收入分配合理有序。落实基本工资正常调整机制，合理确定绩效工资水平。分级分类优化事业单位绩效工资管理办法，探索建立符合事业单位行业特点的收入分配制度。建立联动增长机制，稳步提高事业单位工作人员工资收入水平。</w:t>
      </w:r>
    </w:p>
    <w:p>
      <w:pPr>
        <w:keepLines w:val="0"/>
        <w:pageBreakBefore w:val="0"/>
        <w:kinsoku/>
        <w:wordWrap/>
        <w:overflowPunct/>
        <w:topLinePunct w:val="0"/>
        <w:autoSpaceDE/>
        <w:autoSpaceDN/>
        <w:bidi w:val="0"/>
        <w:spacing w:line="560" w:lineRule="exact"/>
        <w:ind w:firstLine="643" w:firstLineChars="200"/>
        <w:rPr>
          <w:rFonts w:ascii="仿宋_GB2312" w:hAnsi="仿宋_GB2312" w:eastAsia="仿宋_GB2312" w:cs="仿宋_GB2312"/>
          <w:color w:val="auto"/>
          <w:sz w:val="32"/>
          <w:szCs w:val="32"/>
          <w:lang w:bidi="zh-TW"/>
        </w:rPr>
      </w:pPr>
      <w:r>
        <w:rPr>
          <w:rFonts w:hint="eastAsia" w:ascii="仿宋_GB2312" w:hAnsi="仿宋_GB2312" w:eastAsia="仿宋_GB2312" w:cs="仿宋_GB2312"/>
          <w:b/>
          <w:color w:val="auto"/>
          <w:sz w:val="32"/>
          <w:szCs w:val="32"/>
          <w:lang w:bidi="zh-TW"/>
        </w:rPr>
        <w:t>探索灵活多样薪酬分配机制。</w:t>
      </w:r>
      <w:r>
        <w:rPr>
          <w:rFonts w:hint="eastAsia" w:ascii="仿宋_GB2312" w:hAnsi="仿宋_GB2312" w:eastAsia="仿宋_GB2312" w:cs="仿宋_GB2312"/>
          <w:color w:val="auto"/>
          <w:sz w:val="32"/>
          <w:szCs w:val="32"/>
          <w:lang w:bidi="zh-TW"/>
        </w:rPr>
        <w:t>全面落实以增加知识价值为导向的收入分配政策，充分尊重科研、技术、管理人才，充分体现不同人力资本含量的价值。加大对相关重点单位的分配倾斜力度，进一步完善高层次人才、急需紧缺人才分配激励机制，允许相关单位按规定提取有关业务收入适当补充绩效工资，探索灵活多样薪酬分配机制，鼓励人才创新创造。</w:t>
      </w:r>
    </w:p>
    <w:p>
      <w:pPr>
        <w:keepLines w:val="0"/>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color w:val="auto"/>
          <w:sz w:val="32"/>
          <w:szCs w:val="32"/>
          <w:lang w:bidi="zh-TW"/>
        </w:rPr>
      </w:pPr>
      <w:r>
        <w:rPr>
          <w:rFonts w:hint="eastAsia" w:ascii="仿宋_GB2312" w:hAnsi="仿宋_GB2312" w:eastAsia="仿宋_GB2312" w:cs="仿宋_GB2312"/>
          <w:b/>
          <w:color w:val="auto"/>
          <w:sz w:val="32"/>
          <w:szCs w:val="32"/>
          <w:lang w:bidi="zh-TW"/>
        </w:rPr>
        <w:t>推进重点领域薪酬制度改革。</w:t>
      </w:r>
      <w:r>
        <w:rPr>
          <w:rFonts w:hint="eastAsia" w:ascii="仿宋_GB2312" w:hAnsi="仿宋_GB2312" w:eastAsia="仿宋_GB2312" w:cs="仿宋_GB2312"/>
          <w:color w:val="auto"/>
          <w:sz w:val="32"/>
          <w:szCs w:val="32"/>
          <w:lang w:bidi="zh-TW"/>
        </w:rPr>
        <w:t>按照“保基本、强激励”原则，探索推进公立医院等重点领域薪酬制度改革，支持加大自主分配力度。支持对符合规定条件的高层次人才或急需紧缺人才实行协议工资、年薪工资、项目工资等灵活多样分配方式。全面推进公立医院薪酬制度改革，落实“两个允许”原则，完善公立医院绩效工资总量核定办法。</w:t>
      </w:r>
    </w:p>
    <w:p>
      <w:pPr>
        <w:keepLines w:val="0"/>
        <w:pageBreakBefore w:val="0"/>
        <w:kinsoku/>
        <w:wordWrap/>
        <w:overflowPunct/>
        <w:topLinePunct w:val="0"/>
        <w:autoSpaceDE/>
        <w:autoSpaceDN/>
        <w:bidi w:val="0"/>
        <w:spacing w:line="560" w:lineRule="exact"/>
        <w:ind w:firstLine="643" w:firstLineChars="200"/>
        <w:rPr>
          <w:rFonts w:ascii="仿宋_GB2312" w:hAnsi="仿宋_GB2312" w:eastAsia="仿宋_GB2312" w:cs="仿宋_GB2312"/>
          <w:color w:val="auto"/>
          <w:sz w:val="32"/>
          <w:szCs w:val="32"/>
          <w:lang w:bidi="zh-TW"/>
        </w:rPr>
      </w:pPr>
      <w:r>
        <w:rPr>
          <w:rFonts w:hint="eastAsia" w:ascii="仿宋_GB2312" w:hAnsi="仿宋_GB2312" w:eastAsia="仿宋_GB2312" w:cs="仿宋_GB2312"/>
          <w:b/>
          <w:color w:val="auto"/>
          <w:sz w:val="32"/>
          <w:szCs w:val="32"/>
          <w:lang w:bidi="zh-TW"/>
        </w:rPr>
        <w:t>完善义务教育工资待遇政策。</w:t>
      </w:r>
      <w:r>
        <w:rPr>
          <w:rFonts w:hint="eastAsia" w:ascii="仿宋_GB2312" w:hAnsi="仿宋_GB2312" w:eastAsia="仿宋_GB2312" w:cs="仿宋_GB2312"/>
          <w:color w:val="auto"/>
          <w:sz w:val="32"/>
          <w:szCs w:val="32"/>
          <w:lang w:bidi="zh-TW"/>
        </w:rPr>
        <w:t>健全中小学教师待遇保障制度，依法保障教师权益和待遇，确保区域内中小学教师平均工资收入水平不低于当地公务员平均工资收入水平。建立联动增长机制，及时调整中小学教师的绩效工资水平，确保国家</w:t>
      </w:r>
      <w:r>
        <w:rPr>
          <w:rFonts w:hint="eastAsia" w:ascii="仿宋_GB2312" w:hAnsi="仿宋_GB2312" w:eastAsia="仿宋_GB2312" w:cs="仿宋_GB2312"/>
          <w:color w:val="auto"/>
          <w:sz w:val="32"/>
          <w:szCs w:val="32"/>
          <w:lang w:eastAsia="zh-CN" w:bidi="zh-TW"/>
        </w:rPr>
        <w:t>、</w:t>
      </w:r>
      <w:r>
        <w:rPr>
          <w:rFonts w:hint="eastAsia" w:ascii="仿宋_GB2312" w:hAnsi="仿宋_GB2312" w:eastAsia="仿宋_GB2312" w:cs="仿宋_GB2312"/>
          <w:color w:val="auto"/>
          <w:sz w:val="32"/>
          <w:szCs w:val="32"/>
          <w:lang w:bidi="zh-TW"/>
        </w:rPr>
        <w:t>省</w:t>
      </w:r>
      <w:r>
        <w:rPr>
          <w:rFonts w:hint="eastAsia" w:ascii="仿宋_GB2312" w:hAnsi="仿宋_GB2312" w:eastAsia="仿宋_GB2312" w:cs="仿宋_GB2312"/>
          <w:color w:val="auto"/>
          <w:sz w:val="32"/>
          <w:szCs w:val="32"/>
          <w:lang w:eastAsia="zh-CN" w:bidi="zh-TW"/>
        </w:rPr>
        <w:t>及</w:t>
      </w:r>
      <w:r>
        <w:rPr>
          <w:rFonts w:hint="eastAsia" w:ascii="仿宋_GB2312" w:hAnsi="仿宋_GB2312" w:eastAsia="仿宋_GB2312" w:cs="仿宋_GB2312"/>
          <w:color w:val="auto"/>
          <w:sz w:val="32"/>
          <w:szCs w:val="32"/>
          <w:lang w:bidi="zh-TW"/>
        </w:rPr>
        <w:t>市关于中小学工资待遇政策要求落实到位。探索对重点建设、获得政府表彰奖励、绩效考核优秀、办学成效显著等学校的绩效奖励性工资核增机制，保障支撑推动基础教育高质量发展。完善绩效工资内部自主分配激励机制，健全绩效工资激励导向功能，推动完善学校绩效工资内部分配办法，激发教师队伍活力。探索建立学校领导班子绩效工资奖励办法。</w:t>
      </w: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Cambria" w:hAnsi="Cambria" w:eastAsia="楷体_GB2312"/>
          <w:color w:val="auto"/>
          <w:sz w:val="34"/>
        </w:rPr>
      </w:pPr>
      <w:bookmarkStart w:id="69" w:name="_Toc22908"/>
      <w:bookmarkStart w:id="70" w:name="_Toc4442"/>
      <w:r>
        <w:rPr>
          <w:rFonts w:hint="eastAsia" w:ascii="Cambria" w:hAnsi="Cambria" w:eastAsia="楷体_GB2312"/>
          <w:color w:val="auto"/>
          <w:sz w:val="34"/>
        </w:rPr>
        <w:t>第三节  完善事业单位人事管理服务</w:t>
      </w:r>
      <w:bookmarkEnd w:id="69"/>
      <w:bookmarkEnd w:id="70"/>
    </w:p>
    <w:p>
      <w:pPr>
        <w:keepLines w:val="0"/>
        <w:pageBreakBefore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bidi="zh-TW"/>
        </w:rPr>
        <w:t>加强人事管理服务监督。</w:t>
      </w:r>
      <w:r>
        <w:rPr>
          <w:rFonts w:hint="eastAsia" w:ascii="仿宋_GB2312" w:hAnsi="仿宋_GB2312" w:eastAsia="仿宋_GB2312" w:cs="仿宋_GB2312"/>
          <w:color w:val="auto"/>
          <w:sz w:val="32"/>
          <w:szCs w:val="32"/>
        </w:rPr>
        <w:t>明确事业单位人事管理监管主体责任，提升人事争议案件仲裁效能，健全调查处理机制。完善事业单位人事备案管理，开展事业单位人事执法检查，及时发现和纠正问题。推动事业单位建立人事监督员制度，定期开展人事法规政策执行民主评议。强化新闻媒介和社会舆论监督。强化事业单位人事管理信息数据预警功能建设，实现全方位、高效动态监管。</w:t>
      </w:r>
    </w:p>
    <w:p>
      <w:pPr>
        <w:keepLines w:val="0"/>
        <w:pageBreakBefore w:val="0"/>
        <w:kinsoku/>
        <w:wordWrap/>
        <w:overflowPunct/>
        <w:topLinePunct w:val="0"/>
        <w:autoSpaceDE/>
        <w:autoSpaceDN/>
        <w:bidi w:val="0"/>
        <w:adjustRightInd w:val="0"/>
        <w:snapToGrid w:val="0"/>
        <w:spacing w:line="560" w:lineRule="exact"/>
        <w:ind w:firstLine="643" w:firstLineChars="200"/>
        <w:rPr>
          <w:rFonts w:ascii="仿宋_GB2312" w:hAnsi="仿宋_GB2312" w:eastAsia="仿宋_GB2312" w:cs="仿宋_GB2312"/>
          <w:sz w:val="32"/>
          <w:szCs w:val="32"/>
          <w:lang w:bidi="zh-TW"/>
        </w:rPr>
      </w:pPr>
      <w:r>
        <w:rPr>
          <w:rFonts w:hint="eastAsia" w:ascii="仿宋_GB2312" w:hAnsi="仿宋_GB2312" w:eastAsia="仿宋_GB2312" w:cs="仿宋_GB2312"/>
          <w:b/>
          <w:sz w:val="32"/>
          <w:szCs w:val="32"/>
          <w:lang w:bidi="zh-TW"/>
        </w:rPr>
        <w:t>提高人事管理服务信息化水平。</w:t>
      </w:r>
      <w:r>
        <w:rPr>
          <w:rFonts w:hint="eastAsia" w:ascii="仿宋_GB2312" w:hAnsi="仿宋_GB2312" w:eastAsia="仿宋_GB2312" w:cs="仿宋_GB2312"/>
          <w:sz w:val="32"/>
          <w:szCs w:val="32"/>
          <w:lang w:bidi="zh-TW"/>
        </w:rPr>
        <w:t>配合省开发建设全省事业单位人事管理系统，强化综合岗位管理、岗位聘用、公开招聘、增减员、聘用合同管理、奖励处分、人员信息管理等功能应用。积极推进事业单位工资管理信息化建设。</w:t>
      </w:r>
    </w:p>
    <w:p>
      <w:pPr>
        <w:keepLines w:val="0"/>
        <w:pageBreakBefore w:val="0"/>
        <w:kinsoku/>
        <w:wordWrap/>
        <w:overflowPunct/>
        <w:topLinePunct w:val="0"/>
        <w:autoSpaceDE/>
        <w:autoSpaceDN/>
        <w:bidi w:val="0"/>
        <w:adjustRightInd w:val="0"/>
        <w:snapToGrid w:val="0"/>
        <w:spacing w:line="560" w:lineRule="exact"/>
        <w:ind w:firstLine="643" w:firstLineChars="200"/>
      </w:pPr>
      <w:r>
        <w:rPr>
          <w:rFonts w:hint="eastAsia" w:ascii="仿宋_GB2312" w:hAnsi="仿宋_GB2312" w:eastAsia="仿宋_GB2312" w:cs="仿宋_GB2312"/>
          <w:b/>
          <w:sz w:val="32"/>
          <w:szCs w:val="32"/>
          <w:lang w:bidi="zh-TW"/>
        </w:rPr>
        <w:t>加强人事考试基础建设。</w:t>
      </w:r>
      <w:r>
        <w:rPr>
          <w:rFonts w:hint="eastAsia" w:ascii="仿宋_GB2312" w:hAnsi="仿宋_GB2312" w:eastAsia="仿宋_GB2312" w:cs="仿宋_GB2312"/>
          <w:color w:val="auto"/>
          <w:sz w:val="32"/>
          <w:szCs w:val="32"/>
          <w:lang w:bidi="zh-TW"/>
        </w:rPr>
        <w:t>推进可视化监控指挥系统建设，推广计算机无纸化考试，探索远程在线考试。完善人事考试风险防控网络体系，加强内部管控和外部联防，不断夯实人事考试安全基础。</w:t>
      </w: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hint="eastAsia" w:ascii="Calibri" w:hAnsi="Calibri" w:eastAsia="黑体"/>
          <w:sz w:val="44"/>
          <w:szCs w:val="44"/>
          <w:lang w:val="en-US" w:eastAsia="zh-CN"/>
        </w:rPr>
      </w:pPr>
      <w:bookmarkStart w:id="71" w:name="_Toc22484"/>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hint="eastAsia" w:ascii="Calibri" w:hAnsi="Calibri" w:eastAsia="黑体"/>
          <w:sz w:val="44"/>
          <w:szCs w:val="44"/>
          <w:lang w:val="en-US" w:eastAsia="zh-CN"/>
        </w:r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hint="eastAsia" w:ascii="Calibri" w:hAnsi="Calibri" w:eastAsia="黑体"/>
          <w:sz w:val="44"/>
          <w:szCs w:val="44"/>
          <w:lang w:val="en-US" w:eastAsia="zh-CN"/>
        </w:r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hint="eastAsia" w:ascii="Calibri" w:hAnsi="Calibri" w:eastAsia="黑体"/>
          <w:sz w:val="44"/>
          <w:szCs w:val="44"/>
          <w:lang w:val="en-US" w:eastAsia="zh-CN"/>
        </w:r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hint="eastAsia" w:ascii="Calibri" w:hAnsi="Calibri" w:eastAsia="黑体"/>
          <w:sz w:val="44"/>
          <w:szCs w:val="44"/>
          <w:lang w:val="en-US" w:eastAsia="zh-CN"/>
        </w:r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hint="eastAsia" w:ascii="Calibri" w:hAnsi="Calibri" w:eastAsia="黑体"/>
          <w:sz w:val="44"/>
          <w:szCs w:val="44"/>
          <w:lang w:val="en-US" w:eastAsia="zh-CN"/>
        </w:r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hint="eastAsia" w:ascii="Calibri" w:hAnsi="Calibri" w:eastAsia="黑体"/>
          <w:sz w:val="44"/>
          <w:szCs w:val="44"/>
          <w:lang w:val="en-US" w:eastAsia="zh-CN"/>
        </w:r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hint="eastAsia" w:ascii="Calibri" w:hAnsi="Calibri" w:eastAsia="黑体"/>
          <w:sz w:val="44"/>
          <w:szCs w:val="44"/>
          <w:lang w:val="en-US" w:eastAsia="zh-CN"/>
        </w:r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hint="eastAsia" w:ascii="Calibri" w:hAnsi="Calibri" w:eastAsia="黑体"/>
          <w:sz w:val="44"/>
          <w:szCs w:val="44"/>
          <w:lang w:val="en-US" w:eastAsia="zh-CN"/>
        </w:r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ascii="Calibri" w:hAnsi="Calibri" w:eastAsia="黑体"/>
          <w:sz w:val="44"/>
          <w:szCs w:val="44"/>
          <w:lang w:val="en-US" w:eastAsia="zh-CN"/>
        </w:rPr>
      </w:pPr>
      <w:bookmarkStart w:id="72" w:name="_Toc27333"/>
      <w:r>
        <w:rPr>
          <w:rFonts w:hint="eastAsia" w:ascii="Calibri" w:hAnsi="Calibri" w:eastAsia="黑体"/>
          <w:sz w:val="44"/>
          <w:szCs w:val="44"/>
          <w:lang w:val="en-US" w:eastAsia="zh-CN"/>
        </w:rPr>
        <w:t>第八章  构建新型和谐劳动关</w:t>
      </w:r>
      <w:bookmarkEnd w:id="64"/>
      <w:r>
        <w:rPr>
          <w:rFonts w:hint="eastAsia" w:ascii="Calibri" w:hAnsi="Calibri" w:eastAsia="黑体"/>
          <w:sz w:val="44"/>
          <w:szCs w:val="44"/>
          <w:lang w:val="en-US" w:eastAsia="zh-CN"/>
        </w:rPr>
        <w:t>系</w:t>
      </w:r>
      <w:bookmarkEnd w:id="71"/>
      <w:bookmarkEnd w:id="72"/>
    </w:p>
    <w:p>
      <w:pPr>
        <w:keepLines w:val="0"/>
        <w:pageBreakBefore w:val="0"/>
        <w:kinsoku/>
        <w:wordWrap/>
        <w:overflowPunct/>
        <w:topLinePunct w:val="0"/>
        <w:autoSpaceDE/>
        <w:autoSpaceDN/>
        <w:bidi w:val="0"/>
        <w:adjustRightInd w:val="0"/>
        <w:spacing w:line="560" w:lineRule="exact"/>
        <w:ind w:firstLine="640" w:firstLineChars="200"/>
        <w:rPr>
          <w:rFonts w:hint="eastAsia" w:ascii="仿宋_GB2312" w:eastAsia="仿宋_GB2312"/>
          <w:sz w:val="32"/>
          <w:szCs w:val="32"/>
        </w:rPr>
      </w:pPr>
      <w:bookmarkStart w:id="73" w:name="_Toc23013"/>
    </w:p>
    <w:p>
      <w:pPr>
        <w:keepLines w:val="0"/>
        <w:pageBreakBefore w:val="0"/>
        <w:kinsoku/>
        <w:wordWrap/>
        <w:overflowPunct/>
        <w:topLinePunct w:val="0"/>
        <w:autoSpaceDE/>
        <w:autoSpaceDN/>
        <w:bidi w:val="0"/>
        <w:adjustRightIn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坚持促进企业发展、维护职工权益，进一步完善党委领导、政府负责、社会协同、企业和职工参与、法治保障的工作体制和源头治理、动态处理、应急处置相结合的工作机制，大力提升劳动关系治理能力和治理水平，建立规范有序、公正合理、互利共赢、和谐稳定的新型劳动关系。</w:t>
      </w:r>
    </w:p>
    <w:p>
      <w:pPr>
        <w:pStyle w:val="12"/>
      </w:pP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仿宋_GB2312" w:hAnsi="仿宋_GB2312" w:eastAsia="仿宋_GB2312" w:cs="仿宋_GB2312"/>
          <w:b/>
          <w:color w:val="auto"/>
          <w:sz w:val="32"/>
          <w:szCs w:val="32"/>
          <w:lang w:bidi="zh-TW"/>
        </w:rPr>
      </w:pPr>
      <w:bookmarkStart w:id="74" w:name="_Toc28748"/>
      <w:bookmarkStart w:id="75" w:name="_Toc2006"/>
      <w:bookmarkStart w:id="76" w:name="_Toc2090"/>
      <w:bookmarkStart w:id="77" w:name="_Toc3387"/>
      <w:bookmarkStart w:id="78" w:name="_Toc17589"/>
      <w:bookmarkStart w:id="79" w:name="_Toc17740"/>
      <w:r>
        <w:rPr>
          <w:rFonts w:hint="eastAsia" w:ascii="Cambria" w:hAnsi="Cambria" w:eastAsia="楷体_GB2312"/>
          <w:color w:val="auto"/>
          <w:sz w:val="34"/>
        </w:rPr>
        <w:t>第一节   健全劳动关系协调机制</w:t>
      </w:r>
      <w:bookmarkEnd w:id="74"/>
    </w:p>
    <w:p>
      <w:pPr>
        <w:keepLines w:val="0"/>
        <w:pageBreakBefore w:val="0"/>
        <w:kinsoku/>
        <w:wordWrap/>
        <w:overflowPunct/>
        <w:topLinePunct w:val="0"/>
        <w:autoSpaceDE/>
        <w:autoSpaceDN/>
        <w:bidi w:val="0"/>
        <w:spacing w:line="560" w:lineRule="exact"/>
        <w:ind w:firstLine="643" w:firstLineChars="200"/>
        <w:rPr>
          <w:rFonts w:ascii="仿宋_GB2312" w:eastAsia="仿宋_GB2312"/>
          <w:color w:val="auto"/>
          <w:sz w:val="32"/>
          <w:szCs w:val="32"/>
        </w:rPr>
      </w:pPr>
      <w:r>
        <w:rPr>
          <w:rFonts w:hint="eastAsia" w:ascii="仿宋_GB2312" w:hAnsi="仿宋_GB2312" w:eastAsia="仿宋_GB2312" w:cs="仿宋_GB2312"/>
          <w:b/>
          <w:color w:val="auto"/>
          <w:sz w:val="32"/>
          <w:szCs w:val="32"/>
          <w:lang w:bidi="zh-TW"/>
        </w:rPr>
        <w:t>加强劳动合同管理。</w:t>
      </w:r>
      <w:r>
        <w:rPr>
          <w:rFonts w:hint="eastAsia" w:ascii="仿宋_GB2312" w:eastAsia="仿宋_GB2312"/>
          <w:color w:val="auto"/>
          <w:sz w:val="32"/>
          <w:szCs w:val="32"/>
        </w:rPr>
        <w:t>全面深入推行劳动合同制度，完善劳动用工备案制度，巩固大中型企业劳动合同签订率，提高小微企业和农民工劳动合同签订率，改善劳动合同履行质量。实施电子劳动合同标准工程。根据省电子劳动合同指引，选取部分企业探索开展电子劳动合同试点，推动劳动合同签订全覆盖。建立劳动合同实名制管理制度，实现劳动合同签订全员覆盖。进一步规范劳务派遣经营行政许可，优化完善劳务派遣管理系统，实现全程网上办理行政许可和劳务派遣用工动态监管。</w:t>
      </w:r>
    </w:p>
    <w:p>
      <w:pPr>
        <w:keepLines w:val="0"/>
        <w:pageBreakBefore w:val="0"/>
        <w:kinsoku/>
        <w:wordWrap/>
        <w:overflowPunct/>
        <w:topLinePunct w:val="0"/>
        <w:autoSpaceDE/>
        <w:autoSpaceDN/>
        <w:bidi w:val="0"/>
        <w:spacing w:line="56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加强劳动关系形势分析和风险监测预警。</w:t>
      </w:r>
      <w:r>
        <w:rPr>
          <w:rFonts w:hint="eastAsia" w:ascii="仿宋_GB2312" w:eastAsia="仿宋_GB2312"/>
          <w:color w:val="auto"/>
          <w:sz w:val="32"/>
          <w:szCs w:val="32"/>
        </w:rPr>
        <w:t>分析研判劳动关系形势和发展趋势，特别是对劳资矛盾高发的区域、行业予以超前预测发现，由事后处置前移到事先防控，及时解决苗头性、倾向性问题。做好经济结构调整过程中劳动关系处理工作，完善企业经济性裁员监测制度，定期监测企业裁员情况，指导企业依法制定和实施裁员方案，依法支付被裁减人员工资、经济补偿等，妥善处置劳资纠纷,完善劳动关系情况月报告及形势分析制度，推动建立劳动关系风险监测预警制度，加大劳动关系领域重大舆情监测和应对。</w:t>
      </w:r>
    </w:p>
    <w:p>
      <w:pPr>
        <w:keepLines w:val="0"/>
        <w:pageBreakBefore w:val="0"/>
        <w:kinsoku/>
        <w:wordWrap/>
        <w:overflowPunct/>
        <w:topLinePunct w:val="0"/>
        <w:autoSpaceDE/>
        <w:autoSpaceDN/>
        <w:bidi w:val="0"/>
        <w:spacing w:line="56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健全新型劳动关系协调机制。</w:t>
      </w:r>
      <w:r>
        <w:rPr>
          <w:rFonts w:hint="eastAsia" w:ascii="仿宋_GB2312" w:eastAsia="仿宋_GB2312"/>
          <w:color w:val="auto"/>
          <w:sz w:val="32"/>
          <w:szCs w:val="32"/>
        </w:rPr>
        <w:t>推行行业性、区域性集体协商签订集体合同，推动企业建立健全民主管理制度，提高企业和职工协商能力和质量，增强集体合同的实效性和履约率。完善协调劳动关系三方机制，加强和创新三方机制组织建设，积极推动工业园区、镇（街道）和产业系统建立三方机制。改善用工环境，加强人文关怀，构建具有汕尾特色的用工文化。</w:t>
      </w:r>
    </w:p>
    <w:p>
      <w:pPr>
        <w:keepLines w:val="0"/>
        <w:pageBreakBefore w:val="0"/>
        <w:kinsoku/>
        <w:wordWrap/>
        <w:overflowPunct/>
        <w:topLinePunct w:val="0"/>
        <w:autoSpaceDE/>
        <w:autoSpaceDN/>
        <w:bidi w:val="0"/>
        <w:spacing w:line="560" w:lineRule="exact"/>
        <w:rPr>
          <w:rFonts w:ascii="仿宋_GB2312" w:eastAsia="仿宋_GB2312"/>
          <w:color w:val="auto"/>
          <w:sz w:val="32"/>
          <w:szCs w:val="32"/>
        </w:rPr>
      </w:pP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color w:val="auto"/>
        </w:rPr>
      </w:pPr>
      <w:bookmarkStart w:id="80" w:name="_Toc16579"/>
      <w:r>
        <w:rPr>
          <w:rFonts w:hint="eastAsia" w:ascii="Cambria" w:hAnsi="Cambria" w:eastAsia="楷体_GB2312"/>
          <w:color w:val="auto"/>
          <w:sz w:val="34"/>
        </w:rPr>
        <w:t>第二节  深化企业工资收入分配制度改革</w:t>
      </w:r>
      <w:bookmarkEnd w:id="80"/>
    </w:p>
    <w:p>
      <w:pPr>
        <w:keepLines w:val="0"/>
        <w:pageBreakBefore w:val="0"/>
        <w:kinsoku/>
        <w:wordWrap/>
        <w:overflowPunct/>
        <w:topLinePunct w:val="0"/>
        <w:autoSpaceDE/>
        <w:autoSpaceDN/>
        <w:bidi w:val="0"/>
        <w:spacing w:line="56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完善工资决定和正常增长机制。</w:t>
      </w:r>
      <w:r>
        <w:rPr>
          <w:rFonts w:hint="eastAsia" w:ascii="仿宋_GB2312" w:eastAsia="仿宋_GB2312"/>
          <w:color w:val="auto"/>
          <w:sz w:val="32"/>
          <w:szCs w:val="32"/>
        </w:rPr>
        <w:t>健全劳动、知识、技术、管理等要素按贡献决定报酬的机制，提高劳动报酬在初次分配中的比重，合理调节收入分配差距。完善最低工资保障制度，实施最低工资标准动态评估，健全与经济发展相适应的最低工资标准动态调整机制。</w:t>
      </w:r>
    </w:p>
    <w:p>
      <w:pPr>
        <w:keepLines w:val="0"/>
        <w:pageBreakBefore w:val="0"/>
        <w:kinsoku/>
        <w:wordWrap/>
        <w:overflowPunct/>
        <w:topLinePunct w:val="0"/>
        <w:autoSpaceDE/>
        <w:autoSpaceDN/>
        <w:bidi w:val="0"/>
        <w:spacing w:line="56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完善工资集体协商制度。</w:t>
      </w:r>
      <w:r>
        <w:rPr>
          <w:rFonts w:hint="eastAsia" w:ascii="仿宋_GB2312" w:eastAsia="仿宋_GB2312"/>
          <w:color w:val="auto"/>
          <w:sz w:val="32"/>
          <w:szCs w:val="32"/>
        </w:rPr>
        <w:t>以非公有制企业为重点，完善工资集体协商制度。全面贯彻落实以增加知识价值为导向的收入分配政策，推动企业在分配中体现技术、知识、管理、数据等要素的价值，鼓励企业在创新创业中创造高收入岗位。</w:t>
      </w:r>
    </w:p>
    <w:p>
      <w:pPr>
        <w:keepLines w:val="0"/>
        <w:pageBreakBefore w:val="0"/>
        <w:kinsoku/>
        <w:wordWrap/>
        <w:overflowPunct/>
        <w:topLinePunct w:val="0"/>
        <w:autoSpaceDE/>
        <w:autoSpaceDN/>
        <w:bidi w:val="0"/>
        <w:spacing w:line="56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完善工资宏观调控指导机制。</w:t>
      </w:r>
      <w:r>
        <w:rPr>
          <w:rFonts w:hint="eastAsia" w:ascii="仿宋_GB2312" w:eastAsia="仿宋_GB2312"/>
          <w:color w:val="auto"/>
          <w:sz w:val="32"/>
          <w:szCs w:val="32"/>
        </w:rPr>
        <w:t>健全工资指导线、企业薪酬调查和信息发布制度，适时发布企业工资指导线、职业薪酬信息和行业人工成本信息。开展企业人工成本监测，及时跟踪评估对企业生产经营的影响。积极开展以先进制造业、战略性新兴产业、现代服务业为重点的薪酬调查，开展以“粤菜师傅”“广东技工”“南粤家政”为主体的重点行业、重点工程专项薪酬水平调查，加强技能人才薪酬分配指引，形成公开发布、定向反馈与针对性指导相结合的信息服务体系，优化企业工资收入分配指导服务。完善国有企业市场化薪酬分配机制，建立健全按业绩贡献决定薪酬的有效激励约束机制，为城区经济发展、人才流动提供支持。</w:t>
      </w:r>
    </w:p>
    <w:bookmarkEnd w:id="75"/>
    <w:bookmarkEnd w:id="76"/>
    <w:bookmarkEnd w:id="77"/>
    <w:bookmarkEnd w:id="78"/>
    <w:bookmarkEnd w:id="79"/>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Cambria" w:hAnsi="Cambria" w:eastAsia="楷体_GB2312"/>
          <w:color w:val="auto"/>
          <w:sz w:val="34"/>
        </w:rPr>
      </w:pPr>
      <w:bookmarkStart w:id="81" w:name="_Toc17579"/>
      <w:r>
        <w:rPr>
          <w:rFonts w:hint="eastAsia" w:ascii="Cambria" w:hAnsi="Cambria" w:eastAsia="楷体_GB2312"/>
          <w:color w:val="auto"/>
          <w:sz w:val="34"/>
        </w:rPr>
        <w:t>第三节   完善劳动人事争议调解仲载体制机制</w:t>
      </w:r>
      <w:bookmarkEnd w:id="81"/>
    </w:p>
    <w:p>
      <w:pPr>
        <w:keepLines w:val="0"/>
        <w:pageBreakBefore w:val="0"/>
        <w:kinsoku/>
        <w:wordWrap/>
        <w:overflowPunct/>
        <w:topLinePunct w:val="0"/>
        <w:autoSpaceDE/>
        <w:autoSpaceDN/>
        <w:bidi w:val="0"/>
        <w:adjustRightInd w:val="0"/>
        <w:spacing w:line="56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完善争议多元化解机制。</w:t>
      </w:r>
      <w:r>
        <w:rPr>
          <w:rFonts w:hint="eastAsia" w:ascii="仿宋_GB2312" w:eastAsia="仿宋_GB2312"/>
          <w:color w:val="auto"/>
          <w:sz w:val="32"/>
          <w:szCs w:val="32"/>
        </w:rPr>
        <w:t>坚持预防为主、基层为主、调解为主的工作方针，指导推进“企业-行政村(社区)-乡镇(街道)”基层劳动人事争议调解工作体系建设，充分发挥人社部门处理劳动争议的职能作用，落实诉前调解及引导机制。推进“调调衔接”，完善人民调解、行政调解、仲裁调解、司法调解联动机制。推进“调裁衔接”，完善仲裁立案前调解、委托调解和调解协议仲裁审查确认制度。推进“调诉”衔接，统一裁审理念和标准，提高办案效能，维护劳动者合法权益。到2025年，劳动人事争议调解成功率达到</w:t>
      </w:r>
      <w:r>
        <w:rPr>
          <w:rFonts w:hint="eastAsia" w:ascii="仿宋_GB2312" w:eastAsia="仿宋_GB2312"/>
          <w:color w:val="auto"/>
          <w:sz w:val="32"/>
          <w:szCs w:val="32"/>
          <w:lang w:val="en-US" w:eastAsia="zh-CN"/>
        </w:rPr>
        <w:t>60</w:t>
      </w:r>
      <w:r>
        <w:rPr>
          <w:rFonts w:hint="eastAsia" w:ascii="仿宋_GB2312" w:eastAsia="仿宋_GB2312"/>
          <w:color w:val="auto"/>
          <w:sz w:val="32"/>
          <w:szCs w:val="32"/>
        </w:rPr>
        <w:t>%，劳动人事争议仲裁结案率达到</w:t>
      </w:r>
      <w:r>
        <w:rPr>
          <w:rFonts w:hint="eastAsia" w:ascii="仿宋_GB2312" w:eastAsia="仿宋_GB2312"/>
          <w:color w:val="auto"/>
          <w:sz w:val="32"/>
          <w:szCs w:val="32"/>
          <w:lang w:val="en-US" w:eastAsia="zh-CN"/>
        </w:rPr>
        <w:t>90</w:t>
      </w:r>
      <w:r>
        <w:rPr>
          <w:rFonts w:hint="eastAsia" w:ascii="仿宋_GB2312" w:eastAsia="仿宋_GB2312"/>
          <w:color w:val="auto"/>
          <w:sz w:val="32"/>
          <w:szCs w:val="32"/>
        </w:rPr>
        <w:t>%。加快设立区劳动人事争议调解中心，充分发挥人社部门处理劳动争议的职能作用，落实诉前调解及引导机制。推动落实政府向社会力量购买劳动争议专业性调解服务，创新劳动争议专业性调解公共服务供给机制。</w:t>
      </w:r>
    </w:p>
    <w:p>
      <w:pPr>
        <w:pStyle w:val="12"/>
        <w:keepLines w:val="0"/>
        <w:pageBreakBefore w:val="0"/>
        <w:kinsoku/>
        <w:wordWrap/>
        <w:overflowPunct/>
        <w:topLinePunct w:val="0"/>
        <w:autoSpaceDE/>
        <w:autoSpaceDN/>
        <w:bidi w:val="0"/>
        <w:spacing w:line="560" w:lineRule="exact"/>
        <w:ind w:firstLine="643"/>
        <w:rPr>
          <w:rFonts w:ascii="仿宋_GB2312" w:eastAsia="仿宋_GB2312"/>
          <w:color w:val="auto"/>
          <w:sz w:val="32"/>
          <w:szCs w:val="32"/>
        </w:rPr>
      </w:pPr>
      <w:r>
        <w:rPr>
          <w:rFonts w:hint="eastAsia" w:ascii="仿宋_GB2312" w:eastAsia="仿宋_GB2312"/>
          <w:b/>
          <w:color w:val="auto"/>
          <w:sz w:val="32"/>
          <w:szCs w:val="32"/>
        </w:rPr>
        <w:t>推进仲裁办案方式改革。</w:t>
      </w:r>
      <w:r>
        <w:rPr>
          <w:rFonts w:hint="eastAsia" w:ascii="仿宋_GB2312" w:eastAsia="仿宋_GB2312"/>
          <w:color w:val="auto"/>
          <w:sz w:val="32"/>
          <w:szCs w:val="32"/>
        </w:rPr>
        <w:t>完善仲裁准司法制度体系，创新办案机制，加强办案指导监督，提升仲裁终结率。实施案件分类处理，简化优化立案、庭审、送达等具体程序，推广要素式办案，完善仲裁专递机制。规范简易仲裁程序，灵活便捷处理小额简单争议案件，建立健全集体劳动争议快速仲裁特别程序。加强基层劳动争议预防调解，推进乡镇（街道）劳动纠纷多元化解机制全覆盖，做到大多数劳动纠纷就近就地首先在一线化解。加强仲裁机构队伍建设，多渠道充实仲裁办案人员队伍，保障仲裁庭组庭人员的基本要求，创新培训方式，完善职业保障机制。</w:t>
      </w:r>
    </w:p>
    <w:p>
      <w:pPr>
        <w:keepLines w:val="0"/>
        <w:pageBreakBefore w:val="0"/>
        <w:kinsoku/>
        <w:wordWrap/>
        <w:overflowPunct/>
        <w:topLinePunct w:val="0"/>
        <w:autoSpaceDE/>
        <w:autoSpaceDN/>
        <w:bidi w:val="0"/>
        <w:spacing w:line="56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畅通仲裁“绿色通道”。</w:t>
      </w:r>
      <w:r>
        <w:rPr>
          <w:rFonts w:hint="eastAsia" w:ascii="仿宋_GB2312" w:eastAsia="仿宋_GB2312"/>
          <w:color w:val="auto"/>
          <w:sz w:val="32"/>
          <w:szCs w:val="32"/>
        </w:rPr>
        <w:t>依法快速处理因拖欠农民工工资等引发的劳动争议，提高仲裁终局比例，实现快立、快审、快结。充分发挥基层劳动争议调解等组织的作用，引导农民工就地就近解决工资争议。劳动人事争议仲裁机构对农民工因拖欠工资申请仲裁的争议案件优先受理、优先开庭、及时裁决、快速结案。对集体欠薪争议或涉及金额较大的欠薪争议案件要挂牌督办。实行阳光仲裁，逐步实行仲裁裁决书网上公开，接受社会监督。</w:t>
      </w: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Cambria" w:hAnsi="Cambria" w:eastAsia="楷体_GB2312"/>
          <w:color w:val="auto"/>
          <w:sz w:val="34"/>
        </w:rPr>
      </w:pPr>
      <w:bookmarkStart w:id="82" w:name="_Toc9243"/>
      <w:bookmarkStart w:id="83" w:name="_Toc20409"/>
      <w:bookmarkStart w:id="84" w:name="_Toc8275"/>
      <w:r>
        <w:rPr>
          <w:rFonts w:hint="eastAsia" w:ascii="Cambria" w:hAnsi="Cambria" w:eastAsia="楷体_GB2312"/>
          <w:color w:val="auto"/>
          <w:sz w:val="34"/>
        </w:rPr>
        <w:t>第四节  提高劳动保障监察治理效能</w:t>
      </w:r>
      <w:bookmarkEnd w:id="82"/>
      <w:bookmarkEnd w:id="83"/>
    </w:p>
    <w:bookmarkEnd w:id="84"/>
    <w:p>
      <w:pPr>
        <w:keepLines w:val="0"/>
        <w:pageBreakBefore w:val="0"/>
        <w:kinsoku/>
        <w:wordWrap/>
        <w:overflowPunct/>
        <w:topLinePunct w:val="0"/>
        <w:autoSpaceDE/>
        <w:autoSpaceDN/>
        <w:bidi w:val="0"/>
        <w:adjustRightInd w:val="0"/>
        <w:spacing w:line="56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加大根治欠薪工作力度。</w:t>
      </w:r>
      <w:r>
        <w:rPr>
          <w:rFonts w:hint="eastAsia" w:ascii="仿宋_GB2312" w:eastAsia="仿宋_GB2312"/>
          <w:color w:val="auto"/>
          <w:sz w:val="32"/>
          <w:szCs w:val="32"/>
        </w:rPr>
        <w:t>严格按照上级部门对“根治欠薪”的统一部署， 坚持党委政府抓总、</w:t>
      </w:r>
      <w:r>
        <w:rPr>
          <w:rFonts w:hint="eastAsia" w:ascii="仿宋_GB2312" w:eastAsia="仿宋_GB2312"/>
          <w:color w:val="auto"/>
          <w:sz w:val="32"/>
          <w:szCs w:val="32"/>
          <w:lang w:eastAsia="zh-CN"/>
        </w:rPr>
        <w:t>各镇（街道）、</w:t>
      </w:r>
      <w:r>
        <w:rPr>
          <w:rFonts w:hint="eastAsia" w:ascii="仿宋_GB2312" w:eastAsia="仿宋_GB2312"/>
          <w:color w:val="auto"/>
          <w:sz w:val="32"/>
          <w:szCs w:val="32"/>
        </w:rPr>
        <w:t>各部门齐抓共管工作格局，健全</w:t>
      </w:r>
      <w:r>
        <w:rPr>
          <w:rFonts w:hint="eastAsia" w:ascii="仿宋_GB2312" w:eastAsia="仿宋_GB2312"/>
          <w:color w:val="auto"/>
          <w:sz w:val="32"/>
          <w:szCs w:val="32"/>
          <w:lang w:eastAsia="zh-CN"/>
        </w:rPr>
        <w:t>城区</w:t>
      </w:r>
      <w:r>
        <w:rPr>
          <w:rFonts w:hint="eastAsia" w:ascii="仿宋_GB2312" w:eastAsia="仿宋_GB2312"/>
          <w:color w:val="auto"/>
          <w:sz w:val="32"/>
          <w:szCs w:val="32"/>
        </w:rPr>
        <w:t>根治拖欠农民工工资工作领导小组工作机制。以工程建设领域和劳动密集型制造业等行业领域为重点，推动建筑领域实名制管理办法、工资专户管理和保证金制度在企业落实落地。继续加大重大劳动保障违法行为企业社会公布和纳入“黑名单”力度，会同行业主管部门联合惩戒。密切协同公安机关、检察院、法院等强化“两法衔接”打击恶意欠薪，推动完善快立、快捕、快诉、快审、快判机制。健全源头保障工资支付制度，在工程款拨付、工资专户管理、工资支付动态监控、欠薪应急救济保障等各个环节形成制度闭环管理。</w:t>
      </w:r>
    </w:p>
    <w:p>
      <w:pPr>
        <w:keepLines w:val="0"/>
        <w:pageBreakBefore w:val="0"/>
        <w:kinsoku/>
        <w:wordWrap/>
        <w:overflowPunct/>
        <w:topLinePunct w:val="0"/>
        <w:autoSpaceDE/>
        <w:autoSpaceDN/>
        <w:bidi w:val="0"/>
        <w:adjustRightInd w:val="0"/>
        <w:spacing w:line="56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加强和创新劳资纠纷治理。</w:t>
      </w:r>
      <w:r>
        <w:rPr>
          <w:rFonts w:hint="eastAsia" w:ascii="仿宋_GB2312" w:eastAsia="仿宋_GB2312"/>
          <w:color w:val="auto"/>
          <w:sz w:val="32"/>
          <w:szCs w:val="32"/>
        </w:rPr>
        <w:t>完善党委领导、政府负责、民主协商、社会协同、公众参与、法治保障、科技支撑的劳资纠纷治理体系。构建基层劳资纠纷治理新格局，完善群众参与基层劳资纠纷治理的制度化渠道，推行网格化管理和服务，发挥群团组织、社会组织作用， 发挥行业协会商会自律功能，实现政府治理和社会调解、居民 自治良性互动。完善以职工代表大会为基本形式的企业民主管理制度，丰富职工民主参与形式，畅通职工民主参与渠道。强化劳资纠纷隐患排查风险预警，将矛盾隐患化解在苗头和萌芽。深入贯彻落实广东省劳资纠纷风险预警防范办法，联动研判企业经营异动信息，分级预警、跟踪化解。健全劳资纠纷群体性事件预防和应急处置机制，明确分级响应、处置程序和处置措施。健全群体性事件应急联动处置机制，及时妥善处置群体性事件。</w:t>
      </w:r>
    </w:p>
    <w:p>
      <w:pPr>
        <w:keepLines w:val="0"/>
        <w:pageBreakBefore w:val="0"/>
        <w:kinsoku/>
        <w:wordWrap/>
        <w:overflowPunct/>
        <w:topLinePunct w:val="0"/>
        <w:autoSpaceDE/>
        <w:autoSpaceDN/>
        <w:bidi w:val="0"/>
        <w:adjustRightInd w:val="0"/>
        <w:spacing w:line="56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依法严厉打击劳</w:t>
      </w:r>
      <w:r>
        <w:rPr>
          <w:rFonts w:hint="eastAsia" w:ascii="仿宋_GB2312" w:eastAsia="仿宋_GB2312"/>
          <w:b/>
          <w:color w:val="auto"/>
          <w:sz w:val="32"/>
          <w:szCs w:val="32"/>
          <w:lang w:eastAsia="zh-CN"/>
        </w:rPr>
        <w:t>资领域</w:t>
      </w:r>
      <w:r>
        <w:rPr>
          <w:rFonts w:hint="eastAsia" w:ascii="仿宋_GB2312" w:eastAsia="仿宋_GB2312"/>
          <w:b/>
          <w:color w:val="auto"/>
          <w:sz w:val="32"/>
          <w:szCs w:val="32"/>
        </w:rPr>
        <w:t>违法行为。</w:t>
      </w:r>
      <w:r>
        <w:rPr>
          <w:rFonts w:hint="eastAsia" w:ascii="仿宋_GB2312" w:eastAsia="仿宋_GB2312"/>
          <w:color w:val="auto"/>
          <w:sz w:val="32"/>
          <w:szCs w:val="32"/>
        </w:rPr>
        <w:t>创新劳动监察执法方式，实现监察执法向主动预防和统筹城乡转变。畅通劳动者多元维权渠道，进一步加强劳动监察电话、网络投诉平台，完善区、镇劳动监察举报投诉“绿色通道”制度建设。强化保障工资支付、清理整顿人力资源市场秩序、劳动用工和社会保险专项执法。加大对非法用工查处力度，严厉打击使用童工、强迫劳动、拒不支付劳动报酬等违法犯罪行为。加强劳动保障诚信等级评价制度建设，建立健全企业诚信档案。健全劳动监察执法监督和重大案件督查督办制度，落实劳动保障监察执法“双随机一公开”制度。</w:t>
      </w:r>
    </w:p>
    <w:p>
      <w:pPr>
        <w:keepLines w:val="0"/>
        <w:pageBreakBefore w:val="0"/>
        <w:kinsoku/>
        <w:wordWrap/>
        <w:overflowPunct/>
        <w:topLinePunct w:val="0"/>
        <w:autoSpaceDE/>
        <w:autoSpaceDN/>
        <w:bidi w:val="0"/>
        <w:adjustRightInd w:val="0"/>
        <w:spacing w:line="56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加强劳动保障监察基础能力建设。</w:t>
      </w:r>
      <w:r>
        <w:rPr>
          <w:rFonts w:hint="eastAsia" w:ascii="仿宋_GB2312" w:eastAsia="仿宋_GB2312"/>
          <w:color w:val="auto"/>
          <w:sz w:val="32"/>
          <w:szCs w:val="32"/>
        </w:rPr>
        <w:t>完善劳动监察综合执法队伍建设，配齐、配足劳动监察执法人员，推动基层（镇街）劳动保障监察执法辅助人员建设。推动地方政府建立农民工工资支付监控预警平台，实现人社、发改、财政、住建</w:t>
      </w:r>
      <w:r>
        <w:rPr>
          <w:rFonts w:hint="eastAsia" w:ascii="仿宋_GB2312" w:eastAsia="仿宋_GB2312"/>
          <w:color w:val="auto"/>
          <w:sz w:val="32"/>
          <w:szCs w:val="32"/>
          <w:lang w:eastAsia="zh-CN"/>
        </w:rPr>
        <w:t>（</w:t>
      </w:r>
      <w:r>
        <w:rPr>
          <w:rFonts w:hint="eastAsia" w:ascii="仿宋_GB2312" w:eastAsia="仿宋_GB2312"/>
          <w:color w:val="auto"/>
          <w:sz w:val="32"/>
          <w:szCs w:val="32"/>
        </w:rPr>
        <w:t>交通</w:t>
      </w:r>
      <w:r>
        <w:rPr>
          <w:rFonts w:hint="eastAsia" w:ascii="仿宋_GB2312" w:eastAsia="仿宋_GB2312"/>
          <w:color w:val="auto"/>
          <w:sz w:val="32"/>
          <w:szCs w:val="32"/>
          <w:lang w:eastAsia="zh-CN"/>
        </w:rPr>
        <w:t>）</w:t>
      </w:r>
      <w:r>
        <w:rPr>
          <w:rFonts w:hint="eastAsia" w:ascii="仿宋_GB2312" w:eastAsia="仿宋_GB2312"/>
          <w:color w:val="auto"/>
          <w:sz w:val="32"/>
          <w:szCs w:val="32"/>
        </w:rPr>
        <w:t>、水利等部门的工程项目审批、资金落实、施工许可、劳动用工、工资支付等数据，对监管信息和企业经营相关指标变化情况进行风险监测。依托欠薪联合预警平台，通过“大数据”自动分析，抓取关键信息，将欠薪隐患的企业及时预警通报给相关部门，以便相关部门及时发现问题，从源头杜绝欠薪的发生，维护社会的安全稳定。大力提升基层执法人员素质，加强基层执法人员岗位业务能力培训，提升劳动监察执法规范化、专业化水平。</w:t>
      </w:r>
    </w:p>
    <w:p>
      <w:pPr>
        <w:keepLines w:val="0"/>
        <w:pageBreakBefore w:val="0"/>
        <w:kinsoku/>
        <w:wordWrap/>
        <w:overflowPunct/>
        <w:topLinePunct w:val="0"/>
        <w:autoSpaceDE/>
        <w:autoSpaceDN/>
        <w:bidi w:val="0"/>
        <w:adjustRightInd w:val="0"/>
        <w:spacing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加大劳动法律法规宣传力度，增强劳资双方守法意识。</w:t>
      </w:r>
      <w:r>
        <w:rPr>
          <w:rFonts w:hint="eastAsia" w:ascii="仿宋_GB2312" w:eastAsia="仿宋_GB2312"/>
          <w:color w:val="auto"/>
          <w:sz w:val="32"/>
          <w:szCs w:val="32"/>
        </w:rPr>
        <w:t>对辖区内的用人单位加强劳动法制教育和宣传，加大电视广播、报纸、户外LED显示屏、区政府网站、今日城区微信公众号宣传力度，大力普及用人单位尤其是企业经营者的劳动保障法律知识，不断提高用人单位的法律意识和守法的自觉性，不断提高劳动者的劳动法律知识水平和自我保护意识。引导、帮助用人单位和劳动者通过法律途径解决矛盾和纠纷，避免和减少集体上访、投诉的发生。</w:t>
      </w: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ascii="仿宋_GB2312" w:eastAsia="仿宋_GB2312"/>
          <w:color w:val="auto"/>
          <w:sz w:val="32"/>
          <w:szCs w:val="32"/>
        </w:rPr>
      </w:pPr>
    </w:p>
    <w:p>
      <w:pPr>
        <w:pStyle w:val="2"/>
        <w:rPr>
          <w:rFonts w:hint="eastAsia" w:ascii="仿宋_GB2312" w:eastAsia="仿宋_GB2312"/>
          <w:color w:val="auto"/>
          <w:sz w:val="32"/>
          <w:szCs w:val="32"/>
        </w:rPr>
      </w:pPr>
    </w:p>
    <w:p>
      <w:pPr>
        <w:rPr>
          <w:rFonts w:hint="eastAsia"/>
        </w:rPr>
      </w:pPr>
    </w:p>
    <w:p>
      <w:pPr>
        <w:pStyle w:val="2"/>
        <w:rPr>
          <w:rFonts w:hint="eastAsia"/>
        </w:rPr>
      </w:pPr>
    </w:p>
    <w:p>
      <w:pPr>
        <w:pStyle w:val="12"/>
      </w:pPr>
    </w:p>
    <w:bookmarkEnd w:id="73"/>
    <w:p>
      <w:pPr>
        <w:pStyle w:val="3"/>
        <w:keepLines w:val="0"/>
        <w:pageBreakBefore w:val="0"/>
        <w:numPr>
          <w:ilvl w:val="0"/>
          <w:numId w:val="2"/>
        </w:numPr>
        <w:kinsoku/>
        <w:wordWrap/>
        <w:overflowPunct/>
        <w:topLinePunct w:val="0"/>
        <w:autoSpaceDE/>
        <w:autoSpaceDN/>
        <w:bidi w:val="0"/>
        <w:adjustRightInd w:val="0"/>
        <w:snapToGrid w:val="0"/>
        <w:spacing w:before="120" w:beforeLines="50" w:after="120" w:afterLines="50" w:line="560" w:lineRule="exact"/>
        <w:jc w:val="center"/>
        <w:rPr>
          <w:rFonts w:hint="eastAsia" w:ascii="Calibri" w:hAnsi="Calibri" w:eastAsia="黑体"/>
          <w:sz w:val="44"/>
          <w:szCs w:val="44"/>
          <w:lang w:val="en-US" w:eastAsia="zh-CN"/>
        </w:rPr>
      </w:pPr>
      <w:bookmarkStart w:id="85" w:name="_Toc7933"/>
      <w:bookmarkStart w:id="86" w:name="_Toc7342"/>
      <w:r>
        <w:rPr>
          <w:rFonts w:hint="eastAsia" w:ascii="Calibri" w:hAnsi="Calibri" w:eastAsia="黑体"/>
          <w:sz w:val="44"/>
          <w:szCs w:val="44"/>
          <w:lang w:val="en-US" w:eastAsia="zh-CN"/>
        </w:rPr>
        <w:t xml:space="preserve"> </w:t>
      </w:r>
      <w:bookmarkStart w:id="87" w:name="_Toc17965"/>
      <w:r>
        <w:rPr>
          <w:rFonts w:hint="eastAsia" w:ascii="Calibri" w:hAnsi="Calibri" w:eastAsia="黑体"/>
          <w:sz w:val="44"/>
          <w:szCs w:val="44"/>
          <w:lang w:val="en-US" w:eastAsia="zh-CN"/>
        </w:rPr>
        <w:t>提升公共服务能力和水平</w:t>
      </w:r>
      <w:bookmarkEnd w:id="85"/>
      <w:bookmarkEnd w:id="87"/>
    </w:p>
    <w:p>
      <w:pPr>
        <w:numPr>
          <w:ilvl w:val="0"/>
          <w:numId w:val="0"/>
        </w:numPr>
        <w:rPr>
          <w:lang w:val="en-US" w:eastAsia="zh-CN"/>
        </w:rPr>
      </w:pPr>
    </w:p>
    <w:bookmarkEnd w:id="86"/>
    <w:p>
      <w:pPr>
        <w:keepNext w:val="0"/>
        <w:keepLines w:val="0"/>
        <w:pageBreakBefore w:val="0"/>
        <w:widowControl w:val="0"/>
        <w:kinsoku/>
        <w:wordWrap/>
        <w:overflowPunct/>
        <w:topLinePunct w:val="0"/>
        <w:autoSpaceDE/>
        <w:autoSpaceDN/>
        <w:bidi w:val="0"/>
        <w:adjustRightInd w:val="0"/>
        <w:spacing w:line="620" w:lineRule="exact"/>
        <w:ind w:firstLine="640" w:firstLineChars="200"/>
        <w:textAlignment w:val="auto"/>
        <w:rPr>
          <w:rFonts w:ascii="仿宋_GB2312" w:eastAsia="仿宋_GB2312"/>
          <w:color w:val="auto"/>
          <w:sz w:val="32"/>
          <w:szCs w:val="32"/>
          <w:highlight w:val="none"/>
        </w:rPr>
      </w:pPr>
      <w:bookmarkStart w:id="88" w:name="_Toc29186"/>
      <w:bookmarkStart w:id="89" w:name="_Toc391"/>
      <w:bookmarkStart w:id="90" w:name="_Toc23069"/>
      <w:bookmarkStart w:id="91" w:name="_Toc21584"/>
      <w:bookmarkStart w:id="92" w:name="_Toc31946"/>
      <w:r>
        <w:rPr>
          <w:rFonts w:hint="eastAsia" w:ascii="仿宋_GB2312" w:eastAsia="仿宋_GB2312"/>
          <w:color w:val="auto"/>
          <w:sz w:val="32"/>
          <w:szCs w:val="32"/>
          <w:highlight w:val="none"/>
        </w:rPr>
        <w:t>加强法治人社建设，</w:t>
      </w:r>
      <w:r>
        <w:rPr>
          <w:rFonts w:hint="eastAsia" w:ascii="仿宋_GB2312" w:eastAsia="仿宋_GB2312"/>
          <w:color w:val="auto"/>
          <w:sz w:val="32"/>
          <w:szCs w:val="32"/>
          <w:highlight w:val="none"/>
          <w:lang w:val="en-US" w:eastAsia="zh-CN"/>
        </w:rPr>
        <w:t>聚焦“阳光人社、和谐人社、高效人社、便民人社”，</w:t>
      </w:r>
      <w:r>
        <w:rPr>
          <w:rFonts w:hint="eastAsia" w:ascii="仿宋_GB2312" w:eastAsia="仿宋_GB2312"/>
          <w:color w:val="auto"/>
          <w:sz w:val="32"/>
          <w:szCs w:val="32"/>
          <w:highlight w:val="none"/>
        </w:rPr>
        <w:t>强化行风建设效能，坚持普惠性、保基本、均等化、可持续方向，围绕标准化、一体化、信息化，加强公共服务设施建设，强化公共服务能力，提升公共服务水平，为群众提供更加方便快捷、优质高效的人力资源社会保障基本公共服务。</w:t>
      </w:r>
    </w:p>
    <w:p>
      <w:pPr>
        <w:pStyle w:val="2"/>
        <w:rPr>
          <w:rFonts w:hint="eastAsia"/>
        </w:rPr>
      </w:pP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Cambria" w:hAnsi="Cambria" w:eastAsia="楷体_GB2312"/>
          <w:color w:val="000000"/>
          <w:sz w:val="34"/>
        </w:rPr>
      </w:pPr>
      <w:bookmarkStart w:id="93" w:name="_Toc18473"/>
      <w:r>
        <w:rPr>
          <w:rFonts w:hint="eastAsia" w:ascii="Cambria" w:hAnsi="Cambria" w:eastAsia="楷体_GB2312"/>
          <w:color w:val="000000"/>
          <w:sz w:val="34"/>
        </w:rPr>
        <w:t>第一节  强化法治人社建设</w:t>
      </w:r>
      <w:bookmarkEnd w:id="88"/>
      <w:bookmarkEnd w:id="89"/>
      <w:bookmarkEnd w:id="90"/>
      <w:bookmarkEnd w:id="91"/>
      <w:bookmarkEnd w:id="93"/>
    </w:p>
    <w:p>
      <w:pPr>
        <w:keepLines w:val="0"/>
        <w:pageBreakBefore w:val="0"/>
        <w:kinsoku/>
        <w:wordWrap/>
        <w:overflowPunct/>
        <w:topLinePunct w:val="0"/>
        <w:autoSpaceDE/>
        <w:autoSpaceDN/>
        <w:bidi w:val="0"/>
        <w:adjustRightInd w:val="0"/>
        <w:spacing w:line="560" w:lineRule="exact"/>
        <w:ind w:firstLine="643" w:firstLineChars="200"/>
        <w:rPr>
          <w:rFonts w:ascii="仿宋_GB2312" w:eastAsia="仿宋_GB2312"/>
          <w:color w:val="auto"/>
          <w:sz w:val="32"/>
          <w:szCs w:val="32"/>
        </w:rPr>
      </w:pPr>
      <w:r>
        <w:rPr>
          <w:rFonts w:hint="eastAsia" w:ascii="仿宋_GB2312" w:eastAsia="仿宋_GB2312"/>
          <w:b/>
          <w:bCs w:val="0"/>
          <w:color w:val="auto"/>
          <w:sz w:val="32"/>
          <w:szCs w:val="32"/>
        </w:rPr>
        <w:t>完善法治人社制度体系。</w:t>
      </w:r>
      <w:r>
        <w:rPr>
          <w:rFonts w:hint="eastAsia" w:ascii="仿宋_GB2312" w:eastAsia="仿宋_GB2312"/>
          <w:color w:val="auto"/>
          <w:sz w:val="32"/>
          <w:szCs w:val="32"/>
        </w:rPr>
        <w:t>推进党政主要负责人切实履行推进法治建设第一责任人责任。全面贯彻实施人力资源社会保障法律法规规章，加强规范性文件管理。健全依法行政制度体系，健全依法决策机制，落实权力清单和责任清单制度，促进行政权力依法规范公开运行。推进行政执法责任制，强化人社重点领域执法，严格规范行政执法裁量权，加强行政执法人员监管，促进严格规范公正文明执法。</w:t>
      </w:r>
    </w:p>
    <w:p>
      <w:pPr>
        <w:keepLines w:val="0"/>
        <w:pageBreakBefore w:val="0"/>
        <w:kinsoku/>
        <w:wordWrap/>
        <w:overflowPunct/>
        <w:topLinePunct w:val="0"/>
        <w:autoSpaceDE/>
        <w:autoSpaceDN/>
        <w:bidi w:val="0"/>
        <w:adjustRightInd w:val="0"/>
        <w:spacing w:line="560" w:lineRule="exact"/>
        <w:ind w:firstLine="643" w:firstLineChars="200"/>
        <w:rPr>
          <w:rFonts w:ascii="仿宋_GB2312" w:eastAsia="仿宋_GB2312"/>
          <w:color w:val="auto"/>
          <w:sz w:val="32"/>
          <w:szCs w:val="32"/>
        </w:rPr>
      </w:pPr>
      <w:r>
        <w:rPr>
          <w:rFonts w:hint="eastAsia" w:ascii="仿宋_GB2312" w:eastAsia="仿宋_GB2312"/>
          <w:b/>
          <w:sz w:val="32"/>
          <w:szCs w:val="32"/>
        </w:rPr>
        <w:t>推动“八五”人社普法规划的实施。</w:t>
      </w:r>
      <w:r>
        <w:rPr>
          <w:rFonts w:hint="eastAsia" w:ascii="仿宋" w:hAnsi="仿宋" w:eastAsia="仿宋" w:cs="仿宋"/>
          <w:b w:val="0"/>
          <w:bCs/>
          <w:color w:val="auto"/>
          <w:kern w:val="2"/>
          <w:sz w:val="32"/>
          <w:szCs w:val="32"/>
          <w:lang w:val="en-US" w:eastAsia="zh-CN" w:bidi="ar-SA"/>
        </w:rPr>
        <w:t>按照法治政府等建设要求，立足城区实际，扎实</w:t>
      </w:r>
      <w:r>
        <w:rPr>
          <w:rFonts w:hint="eastAsia" w:ascii="仿宋" w:hAnsi="仿宋" w:eastAsia="仿宋" w:cs="仿宋"/>
          <w:bCs/>
          <w:color w:val="auto"/>
          <w:kern w:val="2"/>
          <w:sz w:val="32"/>
          <w:szCs w:val="32"/>
          <w:lang w:val="en-US" w:eastAsia="zh-CN" w:bidi="ar-SA"/>
        </w:rPr>
        <w:t>加强系统内部和面向全社会的法治宣传教育工作，</w:t>
      </w:r>
      <w:r>
        <w:rPr>
          <w:rFonts w:hint="eastAsia" w:ascii="仿宋_GB2312" w:eastAsia="仿宋_GB2312"/>
          <w:color w:val="auto"/>
          <w:sz w:val="32"/>
          <w:szCs w:val="32"/>
        </w:rPr>
        <w:t>完善普法责任清单，强化普法责任，扩大普法宣传成效；强化普法宣传典型，推动普法宣传制度化、规范化建设。</w:t>
      </w:r>
      <w:r>
        <w:rPr>
          <w:rFonts w:hint="eastAsia" w:ascii="仿宋" w:hAnsi="仿宋" w:eastAsia="仿宋" w:cs="仿宋"/>
          <w:bCs/>
          <w:color w:val="auto"/>
          <w:kern w:val="2"/>
          <w:sz w:val="32"/>
          <w:szCs w:val="32"/>
          <w:lang w:val="en-US" w:eastAsia="zh-CN" w:bidi="ar-SA"/>
        </w:rPr>
        <w:t>着力在系统内部普遍形成学法、用法、尊法、守法的工作氛围。落实</w:t>
      </w:r>
      <w:r>
        <w:rPr>
          <w:rFonts w:hint="default" w:ascii="仿宋" w:hAnsi="仿宋" w:eastAsia="仿宋" w:cs="仿宋"/>
          <w:bCs/>
          <w:color w:val="auto"/>
          <w:kern w:val="2"/>
          <w:sz w:val="32"/>
          <w:szCs w:val="32"/>
          <w:lang w:val="en-US" w:eastAsia="zh-CN" w:bidi="ar-SA"/>
        </w:rPr>
        <w:t>“谁执法谁普法”责任制，引导和帮助服务对象运用法律手段维护自身合法权力，努力在全社会</w:t>
      </w:r>
      <w:r>
        <w:rPr>
          <w:rFonts w:hint="eastAsia" w:ascii="仿宋" w:hAnsi="仿宋" w:eastAsia="仿宋" w:cs="仿宋"/>
          <w:bCs/>
          <w:color w:val="auto"/>
          <w:kern w:val="2"/>
          <w:sz w:val="32"/>
          <w:szCs w:val="32"/>
          <w:lang w:val="en-US" w:eastAsia="zh-CN" w:bidi="ar-SA"/>
        </w:rPr>
        <w:t>营造</w:t>
      </w:r>
      <w:r>
        <w:rPr>
          <w:rFonts w:hint="default" w:ascii="仿宋" w:hAnsi="仿宋" w:eastAsia="仿宋" w:cs="仿宋"/>
          <w:bCs/>
          <w:color w:val="auto"/>
          <w:kern w:val="2"/>
          <w:sz w:val="32"/>
          <w:szCs w:val="32"/>
          <w:lang w:val="en-US" w:eastAsia="zh-CN" w:bidi="ar-SA"/>
        </w:rPr>
        <w:t>良好的</w:t>
      </w:r>
      <w:r>
        <w:rPr>
          <w:rFonts w:hint="eastAsia" w:ascii="仿宋" w:hAnsi="仿宋" w:eastAsia="仿宋" w:cs="仿宋"/>
          <w:bCs/>
          <w:color w:val="auto"/>
          <w:kern w:val="2"/>
          <w:sz w:val="32"/>
          <w:szCs w:val="32"/>
          <w:lang w:val="en-US" w:eastAsia="zh-CN" w:bidi="ar-SA"/>
        </w:rPr>
        <w:t>法治营商</w:t>
      </w:r>
      <w:r>
        <w:rPr>
          <w:rFonts w:hint="default" w:ascii="仿宋" w:hAnsi="仿宋" w:eastAsia="仿宋" w:cs="仿宋"/>
          <w:bCs/>
          <w:color w:val="auto"/>
          <w:kern w:val="2"/>
          <w:sz w:val="32"/>
          <w:szCs w:val="32"/>
          <w:lang w:val="en-US" w:eastAsia="zh-CN" w:bidi="ar-SA"/>
        </w:rPr>
        <w:t>环境</w:t>
      </w:r>
      <w:r>
        <w:rPr>
          <w:rFonts w:hint="eastAsia" w:ascii="仿宋" w:hAnsi="仿宋" w:eastAsia="仿宋" w:cs="仿宋"/>
          <w:bCs/>
          <w:color w:val="auto"/>
          <w:kern w:val="2"/>
          <w:sz w:val="32"/>
          <w:szCs w:val="32"/>
          <w:lang w:val="en-US" w:eastAsia="zh-CN" w:bidi="ar-SA"/>
        </w:rPr>
        <w:t>，</w:t>
      </w:r>
      <w:r>
        <w:rPr>
          <w:rFonts w:hint="eastAsia" w:ascii="仿宋" w:hAnsi="仿宋" w:eastAsia="仿宋" w:cs="仿宋"/>
          <w:b w:val="0"/>
          <w:bCs/>
          <w:color w:val="auto"/>
          <w:kern w:val="2"/>
          <w:sz w:val="32"/>
          <w:szCs w:val="32"/>
          <w:lang w:val="en-US" w:eastAsia="zh-CN" w:bidi="ar-SA"/>
        </w:rPr>
        <w:t>推进法治城区的各项建设</w:t>
      </w:r>
      <w:r>
        <w:rPr>
          <w:rFonts w:hint="default" w:ascii="仿宋" w:hAnsi="仿宋" w:eastAsia="仿宋" w:cs="仿宋"/>
          <w:bCs/>
          <w:color w:val="auto"/>
          <w:kern w:val="2"/>
          <w:sz w:val="32"/>
          <w:szCs w:val="32"/>
          <w:lang w:val="en-US" w:eastAsia="zh-CN" w:bidi="ar-SA"/>
        </w:rPr>
        <w:t>。</w:t>
      </w:r>
    </w:p>
    <w:p>
      <w:pPr>
        <w:keepLines w:val="0"/>
        <w:pageBreakBefore w:val="0"/>
        <w:kinsoku/>
        <w:wordWrap/>
        <w:overflowPunct/>
        <w:topLinePunct w:val="0"/>
        <w:autoSpaceDE/>
        <w:autoSpaceDN/>
        <w:bidi w:val="0"/>
        <w:adjustRightInd w:val="0"/>
        <w:spacing w:line="560" w:lineRule="exact"/>
        <w:ind w:firstLine="643" w:firstLineChars="200"/>
        <w:rPr>
          <w:rFonts w:hint="eastAsia" w:ascii="仿宋_GB2312" w:eastAsia="仿宋_GB2312"/>
          <w:color w:val="auto"/>
          <w:sz w:val="32"/>
          <w:szCs w:val="32"/>
        </w:rPr>
      </w:pPr>
      <w:r>
        <w:rPr>
          <w:rFonts w:hint="eastAsia" w:ascii="仿宋_GB2312" w:eastAsia="仿宋_GB2312"/>
          <w:b/>
          <w:sz w:val="32"/>
          <w:szCs w:val="32"/>
        </w:rPr>
        <w:t>深化行政审批制度改革，</w:t>
      </w:r>
      <w:r>
        <w:rPr>
          <w:rFonts w:hint="eastAsia" w:ascii="仿宋" w:hAnsi="仿宋" w:eastAsia="仿宋" w:cs="仿宋"/>
          <w:b/>
          <w:bCs w:val="0"/>
          <w:color w:val="auto"/>
          <w:sz w:val="32"/>
          <w:szCs w:val="32"/>
        </w:rPr>
        <w:t>优化政务服务</w:t>
      </w:r>
      <w:r>
        <w:rPr>
          <w:rFonts w:hint="eastAsia" w:ascii="仿宋_GB2312" w:eastAsia="仿宋_GB2312"/>
          <w:b/>
          <w:sz w:val="32"/>
          <w:szCs w:val="32"/>
        </w:rPr>
        <w:t>。</w:t>
      </w:r>
      <w:r>
        <w:rPr>
          <w:rFonts w:hint="eastAsia" w:ascii="仿宋_GB2312" w:eastAsia="仿宋_GB2312"/>
          <w:b w:val="0"/>
          <w:bCs/>
          <w:color w:val="auto"/>
          <w:sz w:val="32"/>
          <w:szCs w:val="32"/>
        </w:rPr>
        <w:t>全力破解</w:t>
      </w:r>
      <w:r>
        <w:rPr>
          <w:rFonts w:hint="eastAsia" w:ascii="仿宋_GB2312" w:eastAsia="仿宋_GB2312"/>
          <w:color w:val="auto"/>
          <w:sz w:val="32"/>
          <w:szCs w:val="32"/>
        </w:rPr>
        <w:t>人社领域行政审批堵点痛点难点问题，全面提升人社政务服务效能。持续优化人社服务窗口建设，完善“前台综合受理、后台分类审批、综合窗口出件”的业务运作模式，在综合窗口对进驻事项实行无差别“一窗受理”，并延伸到广东政务服务网、自助服务终端，实现人社政务服务线下“只进一扇门”、“一窗通办”。聚焦企业和群众办事办件频率、办事习惯，深挖人社政务服务优化潜能，配合市人社局探索更多本地人社服务事项“打包办”“提速办”，推动人社服务“快办行动”进一步落地落实。实施“清减压”专项行动，持续推进简政放权、放管结合、优化服务，推动人社服务窗口向</w:t>
      </w:r>
      <w:r>
        <w:rPr>
          <w:rFonts w:hint="eastAsia" w:ascii="仿宋_GB2312" w:eastAsia="仿宋_GB2312"/>
          <w:color w:val="auto"/>
          <w:sz w:val="32"/>
          <w:szCs w:val="32"/>
          <w:lang w:eastAsia="zh-CN"/>
        </w:rPr>
        <w:t>镇街</w:t>
      </w:r>
      <w:r>
        <w:rPr>
          <w:rFonts w:hint="eastAsia" w:ascii="仿宋_GB2312" w:eastAsia="仿宋_GB2312"/>
          <w:color w:val="auto"/>
          <w:sz w:val="32"/>
          <w:szCs w:val="32"/>
        </w:rPr>
        <w:t>、社区下沉前移。不断深化“无证明城市”的创建工作，加大精简和优化各类证明材料力度，大力推广证明事项告知承诺制和电子证照。</w:t>
      </w:r>
    </w:p>
    <w:p>
      <w:pPr>
        <w:pStyle w:val="2"/>
      </w:pP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pPr>
      <w:bookmarkStart w:id="94" w:name="_Toc19868"/>
      <w:bookmarkStart w:id="95" w:name="_Toc17668"/>
      <w:r>
        <w:rPr>
          <w:rFonts w:hint="eastAsia" w:ascii="Cambria" w:hAnsi="Cambria" w:eastAsia="楷体_GB2312"/>
          <w:color w:val="000000"/>
          <w:sz w:val="34"/>
        </w:rPr>
        <w:t>第二节</w:t>
      </w:r>
      <w:r>
        <w:rPr>
          <w:rFonts w:hint="eastAsia" w:ascii="Cambria" w:hAnsi="Cambria" w:eastAsia="楷体_GB2312"/>
          <w:color w:val="000000"/>
          <w:sz w:val="34"/>
          <w:lang w:val="en-US" w:eastAsia="zh-CN"/>
        </w:rPr>
        <w:t xml:space="preserve">   </w:t>
      </w:r>
      <w:r>
        <w:rPr>
          <w:rFonts w:hint="eastAsia" w:ascii="Cambria" w:hAnsi="Cambria" w:eastAsia="楷体_GB2312"/>
          <w:color w:val="000000"/>
          <w:sz w:val="34"/>
        </w:rPr>
        <w:t>大力推进公共服务均等化标准化信息化建设</w:t>
      </w:r>
      <w:bookmarkEnd w:id="94"/>
    </w:p>
    <w:p>
      <w:pPr>
        <w:keepLines w:val="0"/>
        <w:pageBreakBefore w:val="0"/>
        <w:kinsoku/>
        <w:wordWrap/>
        <w:overflowPunct/>
        <w:topLinePunct w:val="0"/>
        <w:autoSpaceDE/>
        <w:autoSpaceDN/>
        <w:bidi w:val="0"/>
        <w:spacing w:line="56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建立健全覆盖城乡劳动者的就业创业公共服务体系和覆盖城乡全体居民的社会保障体系。</w:t>
      </w:r>
      <w:r>
        <w:rPr>
          <w:rFonts w:hint="eastAsia" w:ascii="仿宋" w:hAnsi="仿宋" w:eastAsia="仿宋" w:cs="仿宋"/>
          <w:bCs/>
          <w:sz w:val="32"/>
          <w:szCs w:val="32"/>
        </w:rPr>
        <w:t>完善普惠性的公共就业创业服务制度，创新公共就业创业服务供给模式，完善公共就业创业服务功能。建立更加高效便捷的社会保险经办服务体系，整合经办服务资源，合理配备经办管理服务人员。健全社会保险社会化管理服务体系，将符合条件的退休人员全部纳入社区管理。健全人才公共服务体系和服务平台，加强高层次、高技能人才服务平台建设，加快完善高效便捷的海外人才来汕工作、出入境、居留管理服务，实施引进高层次高技能人才服务绿卡制度。建立健全流动人员人事档案管理服务体系。</w:t>
      </w:r>
    </w:p>
    <w:p>
      <w:pPr>
        <w:keepLines w:val="0"/>
        <w:pageBreakBefore w:val="0"/>
        <w:kinsoku/>
        <w:wordWrap/>
        <w:overflowPunct/>
        <w:topLinePunct w:val="0"/>
        <w:autoSpaceDE/>
        <w:autoSpaceDN/>
        <w:bidi w:val="0"/>
        <w:spacing w:line="56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完善服务标准体系，推动人社政务服务与本地政务服务改革深度融合。</w:t>
      </w:r>
      <w:r>
        <w:rPr>
          <w:rFonts w:hint="eastAsia" w:ascii="仿宋" w:hAnsi="仿宋" w:eastAsia="仿宋" w:cs="仿宋"/>
          <w:bCs/>
          <w:sz w:val="32"/>
          <w:szCs w:val="32"/>
        </w:rPr>
        <w:t>建立健全与政务服务改革相适应、人社公共服务业务与信息化建设于一体的人社基本公共服务标准化体系，以标准化促进基本公共服务均等化、普惠化、便捷化。进一步推进人社公共服务标准化、规范化，明确政务服务事项及其要素确定和调整工作流程。推动人社政务服务与本地政务服务改革深度融合，根据汕尾市跨城通办、同城通办、深度标准化要求，统筹每个事项要素范围并完善要素内容。</w:t>
      </w:r>
    </w:p>
    <w:p>
      <w:pPr>
        <w:keepLines w:val="0"/>
        <w:pageBreakBefore w:val="0"/>
        <w:kinsoku/>
        <w:wordWrap/>
        <w:overflowPunct/>
        <w:topLinePunct w:val="0"/>
        <w:autoSpaceDE/>
        <w:autoSpaceDN/>
        <w:bidi w:val="0"/>
        <w:spacing w:line="560" w:lineRule="exact"/>
        <w:ind w:firstLine="643" w:firstLineChars="200"/>
        <w:rPr>
          <w:rFonts w:ascii="仿宋" w:hAnsi="仿宋" w:eastAsia="仿宋" w:cs="仿宋"/>
          <w:bCs/>
          <w:color w:val="auto"/>
          <w:sz w:val="32"/>
          <w:szCs w:val="32"/>
        </w:rPr>
      </w:pPr>
      <w:r>
        <w:rPr>
          <w:rFonts w:hint="eastAsia" w:ascii="仿宋" w:hAnsi="仿宋" w:eastAsia="仿宋" w:cs="仿宋"/>
          <w:b/>
          <w:bCs/>
          <w:sz w:val="32"/>
          <w:szCs w:val="32"/>
        </w:rPr>
        <w:t>加强信息化载体建设，依托信息化提质增效。</w:t>
      </w:r>
      <w:r>
        <w:rPr>
          <w:rFonts w:hint="eastAsia" w:ascii="仿宋" w:hAnsi="仿宋" w:eastAsia="仿宋" w:cs="仿宋"/>
          <w:bCs/>
          <w:sz w:val="32"/>
          <w:szCs w:val="32"/>
        </w:rPr>
        <w:t>配合省加快推进省集中式人力资源和社会保障一体化信息系统项目，实现就业、社保、人才人事、劳动关系等数据全省集中。加强与市人社局、区各部门的沟通协调，统筹推进人社政务服务平台与</w:t>
      </w:r>
      <w:r>
        <w:rPr>
          <w:rFonts w:hint="eastAsia" w:ascii="仿宋" w:hAnsi="仿宋" w:eastAsia="仿宋" w:cs="仿宋"/>
          <w:bCs/>
          <w:color w:val="auto"/>
          <w:sz w:val="32"/>
          <w:szCs w:val="32"/>
        </w:rPr>
        <w:t xml:space="preserve">市区政务服务平台对接、数据衔接，加快推进部门内、跨部门、跨层级信息共享，进一步推动重点领域和高频事项“六个通办”。全面深化人社大数据应用，健全数据归集和共享应用机制，推进电子证照、电子档案袋、信用监管等大数据应用，加强人社数据资源安全保障和隐私保护。 </w:t>
      </w:r>
    </w:p>
    <w:p>
      <w:pPr>
        <w:pStyle w:val="12"/>
        <w:keepLines w:val="0"/>
        <w:pageBreakBefore w:val="0"/>
        <w:kinsoku/>
        <w:wordWrap/>
        <w:overflowPunct/>
        <w:topLinePunct w:val="0"/>
        <w:autoSpaceDE/>
        <w:autoSpaceDN/>
        <w:bidi w:val="0"/>
        <w:spacing w:line="560" w:lineRule="exact"/>
        <w:ind w:firstLine="643"/>
        <w:rPr>
          <w:rFonts w:hint="eastAsia" w:ascii="仿宋_GB2312" w:hAnsi="仿宋_GB2312" w:eastAsia="仿宋_GB2312" w:cs="仿宋_GB2312"/>
          <w:color w:val="auto"/>
          <w:sz w:val="32"/>
          <w:szCs w:val="32"/>
          <w:lang w:bidi="zh-TW"/>
        </w:rPr>
      </w:pPr>
      <w:r>
        <w:rPr>
          <w:rFonts w:hint="eastAsia" w:ascii="仿宋_GB2312" w:hAnsi="仿宋_GB2312" w:eastAsia="仿宋_GB2312" w:cs="仿宋_GB2312"/>
          <w:b/>
          <w:color w:val="auto"/>
          <w:sz w:val="32"/>
          <w:szCs w:val="32"/>
          <w:lang w:bidi="zh-TW"/>
        </w:rPr>
        <w:t>建立以社保卡为载体的“一卡通”服务管理模式。</w:t>
      </w:r>
      <w:r>
        <w:rPr>
          <w:rFonts w:hint="eastAsia" w:ascii="仿宋_GB2312" w:hAnsi="仿宋_GB2312" w:eastAsia="仿宋_GB2312" w:cs="仿宋_GB2312"/>
          <w:color w:val="auto"/>
          <w:sz w:val="32"/>
          <w:szCs w:val="32"/>
          <w:lang w:bidi="zh-TW"/>
        </w:rPr>
        <w:t>推动实现社保卡全民持有。以电子社保卡为载体打通线上线下公共服务渠道，实现“一人一卡、一卡多用、网卡结合”。拓展社保卡服务功能，提升社保卡应用效率。</w:t>
      </w:r>
    </w:p>
    <w:p>
      <w:pPr>
        <w:rPr>
          <w:rFonts w:hint="eastAsia"/>
        </w:rPr>
      </w:pPr>
    </w:p>
    <w:p>
      <w:pPr>
        <w:pStyle w:val="4"/>
        <w:keepNext w:val="0"/>
        <w:keepLines w:val="0"/>
        <w:pageBreakBefore w:val="0"/>
        <w:numPr>
          <w:ilvl w:val="0"/>
          <w:numId w:val="0"/>
        </w:numPr>
        <w:kinsoku/>
        <w:wordWrap/>
        <w:overflowPunct/>
        <w:topLinePunct w:val="0"/>
        <w:autoSpaceDE/>
        <w:autoSpaceDN/>
        <w:bidi w:val="0"/>
        <w:adjustRightInd w:val="0"/>
        <w:snapToGrid w:val="0"/>
        <w:spacing w:before="120" w:beforeLines="50" w:after="120" w:afterLines="50" w:line="560" w:lineRule="exact"/>
        <w:jc w:val="center"/>
        <w:rPr>
          <w:rFonts w:hint="eastAsia" w:ascii="仿宋_GB2312" w:eastAsia="仿宋_GB2312"/>
          <w:b/>
          <w:sz w:val="32"/>
          <w:szCs w:val="32"/>
        </w:rPr>
      </w:pPr>
      <w:bookmarkStart w:id="96" w:name="_Toc10430"/>
      <w:r>
        <w:rPr>
          <w:rFonts w:hint="eastAsia" w:ascii="Cambria" w:hAnsi="Cambria" w:eastAsia="楷体_GB2312"/>
          <w:color w:val="000000"/>
          <w:sz w:val="34"/>
          <w:lang w:eastAsia="zh-CN"/>
        </w:rPr>
        <w:t>第三节</w:t>
      </w:r>
      <w:r>
        <w:rPr>
          <w:rFonts w:hint="eastAsia" w:ascii="Cambria" w:hAnsi="Cambria" w:eastAsia="楷体_GB2312"/>
          <w:color w:val="000000"/>
          <w:sz w:val="34"/>
          <w:lang w:val="en-US" w:eastAsia="zh-CN"/>
        </w:rPr>
        <w:t xml:space="preserve">  </w:t>
      </w:r>
      <w:r>
        <w:rPr>
          <w:rFonts w:hint="eastAsia" w:ascii="Cambria" w:hAnsi="Cambria" w:eastAsia="楷体_GB2312"/>
          <w:color w:val="000000"/>
          <w:sz w:val="34"/>
        </w:rPr>
        <w:t>素质过硬的人社队伍</w:t>
      </w:r>
      <w:bookmarkEnd w:id="95"/>
      <w:bookmarkEnd w:id="96"/>
    </w:p>
    <w:p>
      <w:pPr>
        <w:keepLines w:val="0"/>
        <w:pageBreakBefore w:val="0"/>
        <w:kinsoku/>
        <w:wordWrap/>
        <w:overflowPunct/>
        <w:topLinePunct w:val="0"/>
        <w:autoSpaceDE/>
        <w:autoSpaceDN/>
        <w:bidi w:val="0"/>
        <w:adjustRightInd w:val="0"/>
        <w:spacing w:line="560" w:lineRule="exact"/>
        <w:ind w:firstLine="643" w:firstLineChars="200"/>
        <w:rPr>
          <w:rFonts w:ascii="仿宋_GB2312" w:eastAsia="仿宋_GB2312"/>
          <w:color w:val="auto"/>
          <w:sz w:val="32"/>
          <w:szCs w:val="32"/>
        </w:rPr>
      </w:pPr>
      <w:r>
        <w:rPr>
          <w:rFonts w:hint="eastAsia" w:ascii="仿宋_GB2312" w:eastAsia="仿宋_GB2312"/>
          <w:b/>
          <w:sz w:val="32"/>
          <w:szCs w:val="32"/>
        </w:rPr>
        <w:t>开展人社系统行风建设提升行动。</w:t>
      </w:r>
      <w:r>
        <w:rPr>
          <w:rFonts w:hint="eastAsia" w:ascii="仿宋_GB2312" w:eastAsia="仿宋_GB2312"/>
          <w:color w:val="auto"/>
          <w:sz w:val="32"/>
          <w:szCs w:val="32"/>
        </w:rPr>
        <w:t>推动行风建设与履职尽责互进共融，贯穿政策制定、日常监管、优化服务全过程。强化常态化监督，深入开展窗口服务“明察暗访”行动，构建疏导民生堵点痛点难点长效机制。</w:t>
      </w:r>
    </w:p>
    <w:p>
      <w:pPr>
        <w:keepLines w:val="0"/>
        <w:pageBreakBefore w:val="0"/>
        <w:kinsoku/>
        <w:wordWrap/>
        <w:overflowPunct/>
        <w:topLinePunct w:val="0"/>
        <w:autoSpaceDE/>
        <w:autoSpaceDN/>
        <w:bidi w:val="0"/>
        <w:adjustRightInd w:val="0"/>
        <w:spacing w:line="56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完善人社政务服务“好差评”制度体系。</w:t>
      </w:r>
      <w:r>
        <w:rPr>
          <w:rFonts w:hint="eastAsia" w:ascii="仿宋_GB2312" w:eastAsia="仿宋_GB2312"/>
          <w:color w:val="auto"/>
          <w:sz w:val="32"/>
          <w:szCs w:val="32"/>
        </w:rPr>
        <w:t>形成差评和投诉问题的调查核实、督促整改和反馈机制。严格实施服务效能监督机制，畅通群众投诉举报渠道，强化执纪问责力度。强化宣传引导和舆情监测，加强警示教育，实名通报负面案例，落实行风建设问题专项整改。</w:t>
      </w:r>
    </w:p>
    <w:p>
      <w:pPr>
        <w:keepLines w:val="0"/>
        <w:pageBreakBefore w:val="0"/>
        <w:kinsoku/>
        <w:wordWrap/>
        <w:overflowPunct/>
        <w:topLinePunct w:val="0"/>
        <w:autoSpaceDE/>
        <w:autoSpaceDN/>
        <w:bidi w:val="0"/>
        <w:adjustRightInd w:val="0"/>
        <w:spacing w:line="560" w:lineRule="exact"/>
        <w:ind w:firstLine="643" w:firstLineChars="200"/>
        <w:rPr>
          <w:rFonts w:ascii="仿宋_GB2312" w:eastAsia="仿宋_GB2312"/>
          <w:color w:val="auto"/>
          <w:sz w:val="32"/>
          <w:szCs w:val="32"/>
        </w:rPr>
      </w:pPr>
      <w:r>
        <w:rPr>
          <w:rFonts w:hint="eastAsia" w:ascii="仿宋_GB2312" w:eastAsia="仿宋_GB2312"/>
          <w:b/>
          <w:color w:val="auto"/>
          <w:sz w:val="32"/>
          <w:szCs w:val="32"/>
        </w:rPr>
        <w:t>持续开展人社窗口业务技能练兵比武活动。</w:t>
      </w:r>
      <w:r>
        <w:rPr>
          <w:rFonts w:hint="eastAsia" w:ascii="仿宋_GB2312" w:eastAsia="仿宋_GB2312"/>
          <w:color w:val="auto"/>
          <w:sz w:val="32"/>
          <w:szCs w:val="32"/>
        </w:rPr>
        <w:t>实现全员练兵常态化，培育“人社服务标兵”“人社知识通”，在系统内树立业务先进典型。</w:t>
      </w:r>
    </w:p>
    <w:p>
      <w:pPr>
        <w:keepLines w:val="0"/>
        <w:pageBreakBefore w:val="0"/>
        <w:kinsoku/>
        <w:wordWrap/>
        <w:overflowPunct/>
        <w:topLinePunct w:val="0"/>
        <w:autoSpaceDE/>
        <w:autoSpaceDN/>
        <w:bidi w:val="0"/>
        <w:adjustRightInd w:val="0"/>
        <w:spacing w:line="560" w:lineRule="exact"/>
        <w:ind w:firstLine="643" w:firstLineChars="200"/>
        <w:rPr>
          <w:rFonts w:hint="eastAsia" w:ascii="仿宋_GB2312" w:eastAsia="仿宋_GB2312"/>
          <w:color w:val="auto"/>
          <w:sz w:val="32"/>
          <w:szCs w:val="32"/>
        </w:rPr>
      </w:pPr>
      <w:r>
        <w:rPr>
          <w:rFonts w:hint="eastAsia" w:ascii="仿宋_GB2312" w:eastAsia="仿宋_GB2312"/>
          <w:b/>
          <w:color w:val="auto"/>
          <w:sz w:val="32"/>
          <w:szCs w:val="32"/>
        </w:rPr>
        <w:t>加强人社系统队伍建设。</w:t>
      </w:r>
      <w:r>
        <w:rPr>
          <w:rFonts w:hint="eastAsia" w:ascii="仿宋_GB2312" w:eastAsia="仿宋_GB2312"/>
          <w:color w:val="auto"/>
          <w:sz w:val="32"/>
          <w:szCs w:val="32"/>
        </w:rPr>
        <w:t>把“不忘初心、牢记使命”作为加强党的建设的永恒课题和全体党员干部的终身课题常抓不懈，打造忠诚干净担当的高素质专业化干部队伍。充实人力资源社会保障队伍，优化人员结构。打造“三个表率”模范机关，加强人社系统廉政风险防控体系建设，坚决纠治形式主义、官僚主义，守牢守好人社领域意识形态主阵地。</w:t>
      </w:r>
      <w:bookmarkStart w:id="97" w:name="_Toc19242"/>
    </w:p>
    <w:bookmarkEnd w:id="97"/>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center"/>
        <w:rPr>
          <w:rFonts w:ascii="Calibri" w:hAnsi="Calibri" w:eastAsia="黑体"/>
          <w:sz w:val="44"/>
          <w:szCs w:val="44"/>
          <w:lang w:val="en-US" w:eastAsia="zh-CN"/>
        </w:rPr>
      </w:pPr>
      <w:bookmarkStart w:id="98" w:name="_Toc20755"/>
      <w:bookmarkStart w:id="99" w:name="_Toc27612"/>
      <w:r>
        <w:rPr>
          <w:rFonts w:hint="eastAsia" w:ascii="Calibri" w:hAnsi="Calibri" w:eastAsia="黑体"/>
          <w:sz w:val="44"/>
          <w:szCs w:val="44"/>
          <w:lang w:val="en-US" w:eastAsia="zh-CN"/>
        </w:rPr>
        <w:t>第</w:t>
      </w:r>
      <w:r>
        <w:rPr>
          <w:rFonts w:ascii="Calibri" w:hAnsi="Calibri" w:eastAsia="黑体"/>
          <w:sz w:val="44"/>
          <w:szCs w:val="44"/>
          <w:lang w:val="en-US" w:eastAsia="zh-CN"/>
        </w:rPr>
        <w:t>十</w:t>
      </w:r>
      <w:r>
        <w:rPr>
          <w:rFonts w:hint="eastAsia" w:ascii="Calibri" w:hAnsi="Calibri" w:eastAsia="黑体"/>
          <w:sz w:val="44"/>
          <w:szCs w:val="44"/>
          <w:lang w:val="en-US" w:eastAsia="zh-CN"/>
        </w:rPr>
        <w:t xml:space="preserve">章  </w:t>
      </w:r>
      <w:r>
        <w:rPr>
          <w:rFonts w:ascii="Calibri" w:hAnsi="Calibri" w:eastAsia="黑体"/>
          <w:sz w:val="44"/>
          <w:szCs w:val="44"/>
          <w:lang w:val="en-US" w:eastAsia="zh-CN"/>
        </w:rPr>
        <w:t>保障措</w:t>
      </w:r>
      <w:bookmarkEnd w:id="92"/>
      <w:r>
        <w:rPr>
          <w:rFonts w:hint="eastAsia" w:ascii="Calibri" w:hAnsi="Calibri" w:eastAsia="黑体"/>
          <w:sz w:val="44"/>
          <w:szCs w:val="44"/>
          <w:lang w:val="en-US" w:eastAsia="zh-CN"/>
        </w:rPr>
        <w:t>施</w:t>
      </w:r>
      <w:bookmarkEnd w:id="98"/>
      <w:bookmarkEnd w:id="99"/>
    </w:p>
    <w:p>
      <w:pPr>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lang w:bidi="zh-TW"/>
        </w:rPr>
      </w:pPr>
    </w:p>
    <w:p>
      <w:pPr>
        <w:keepLines w:val="0"/>
        <w:pageBreakBefore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lang w:bidi="zh-TW"/>
        </w:rPr>
      </w:pPr>
      <w:r>
        <w:rPr>
          <w:rFonts w:hint="eastAsia" w:ascii="仿宋_GB2312" w:hAnsi="仿宋_GB2312" w:eastAsia="仿宋_GB2312" w:cs="仿宋_GB2312"/>
          <w:sz w:val="32"/>
          <w:szCs w:val="32"/>
          <w:lang w:bidi="zh-TW"/>
        </w:rPr>
        <w:t>“十四五”时期人力资源和社会保障事业高质量发展任务艰巨，要广泛发动各方力量，完善资金、人力、数据等各项保障措施，突出重点、统揽全局，推动规划确定的各项目标任务落实落地。</w:t>
      </w: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Cambria" w:hAnsi="Cambria" w:eastAsia="楷体_GB2312"/>
          <w:color w:val="000000"/>
          <w:sz w:val="34"/>
        </w:rPr>
      </w:pPr>
      <w:bookmarkStart w:id="100" w:name="_Toc6076"/>
      <w:bookmarkStart w:id="101" w:name="_Toc8227"/>
      <w:r>
        <w:rPr>
          <w:rFonts w:hint="eastAsia" w:ascii="Cambria" w:hAnsi="Cambria" w:eastAsia="楷体_GB2312"/>
          <w:color w:val="000000"/>
          <w:sz w:val="34"/>
        </w:rPr>
        <w:t>第一节  加强政策研究和统计监测分析</w:t>
      </w:r>
      <w:bookmarkEnd w:id="100"/>
      <w:bookmarkEnd w:id="101"/>
    </w:p>
    <w:p>
      <w:pPr>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lang w:bidi="zh-TW"/>
        </w:rPr>
      </w:pPr>
      <w:r>
        <w:rPr>
          <w:rFonts w:hint="eastAsia" w:ascii="仿宋_GB2312" w:hAnsi="仿宋_GB2312" w:eastAsia="仿宋_GB2312" w:cs="仿宋_GB2312"/>
          <w:sz w:val="32"/>
          <w:szCs w:val="32"/>
          <w:lang w:bidi="zh-TW"/>
        </w:rPr>
        <w:t>围绕中心工作加强基础理论和应用研究，建立理论研究、技术开发与人力资源社会保障事业发展的</w:t>
      </w:r>
      <w:r>
        <w:rPr>
          <w:rFonts w:hint="eastAsia" w:ascii="仿宋_GB2312" w:hAnsi="仿宋_GB2312" w:eastAsia="仿宋_GB2312" w:cs="仿宋_GB2312"/>
          <w:color w:val="auto"/>
          <w:sz w:val="32"/>
          <w:szCs w:val="32"/>
          <w:lang w:bidi="zh-TW"/>
        </w:rPr>
        <w:t>良</w:t>
      </w:r>
      <w:r>
        <w:rPr>
          <w:rFonts w:hint="eastAsia" w:ascii="仿宋_GB2312" w:hAnsi="仿宋_GB2312" w:eastAsia="仿宋_GB2312" w:cs="仿宋_GB2312"/>
          <w:color w:val="auto"/>
          <w:sz w:val="32"/>
          <w:szCs w:val="32"/>
          <w:lang w:val="en-US" w:eastAsia="zh-CN" w:bidi="zh-TW"/>
        </w:rPr>
        <w:t>性</w:t>
      </w:r>
      <w:r>
        <w:rPr>
          <w:rFonts w:hint="eastAsia" w:ascii="仿宋_GB2312" w:hAnsi="仿宋_GB2312" w:eastAsia="仿宋_GB2312" w:cs="仿宋_GB2312"/>
          <w:color w:val="auto"/>
          <w:sz w:val="32"/>
          <w:szCs w:val="32"/>
          <w:lang w:bidi="zh-TW"/>
        </w:rPr>
        <w:t>互</w:t>
      </w:r>
      <w:r>
        <w:rPr>
          <w:rFonts w:hint="eastAsia" w:ascii="仿宋_GB2312" w:hAnsi="仿宋_GB2312" w:eastAsia="仿宋_GB2312" w:cs="仿宋_GB2312"/>
          <w:sz w:val="32"/>
          <w:szCs w:val="32"/>
          <w:lang w:bidi="zh-TW"/>
        </w:rPr>
        <w:t>动机制，进一步推动科研创新，大力推广科研成果应用，为事业发展提供系统科学的理论指导和技术支撑。建立重大决策研究论证机制和程序。完善统一管理、上下联动、分工分级负责的统计管理体制，建立领域完整、方法科学、可获取、可衡量、可比较的统计调查体系。适应人力资源社会保障事业高质量发展需求，构建具有关联性、可比性、集约性、针对性的统计指标体系，丰富拓展统计调查领域和内容，加强统计数据解读和分析研判，提升统计服务能力。提升统计信息化水平。加强统计监督职能，防范和惩治统计造假、弄虚作假。</w:t>
      </w:r>
      <w:bookmarkStart w:id="102" w:name="_Toc5702"/>
    </w:p>
    <w:p>
      <w:pPr>
        <w:pStyle w:val="2"/>
        <w:rPr>
          <w:rFonts w:hint="eastAsia"/>
        </w:rPr>
      </w:pP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Cambria" w:hAnsi="Cambria" w:eastAsia="楷体_GB2312"/>
          <w:color w:val="000000"/>
          <w:sz w:val="34"/>
        </w:rPr>
      </w:pPr>
      <w:bookmarkStart w:id="103" w:name="_Toc22747"/>
      <w:r>
        <w:rPr>
          <w:rFonts w:hint="eastAsia" w:ascii="Cambria" w:hAnsi="Cambria" w:eastAsia="楷体_GB2312"/>
          <w:color w:val="000000"/>
          <w:sz w:val="34"/>
        </w:rPr>
        <w:t>第二节  提高财政投入效益</w:t>
      </w:r>
      <w:bookmarkEnd w:id="102"/>
      <w:bookmarkEnd w:id="103"/>
    </w:p>
    <w:p>
      <w:pPr>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lang w:bidi="zh-TW"/>
        </w:rPr>
      </w:pPr>
      <w:r>
        <w:rPr>
          <w:rFonts w:hint="eastAsia" w:ascii="仿宋_GB2312" w:hAnsi="仿宋_GB2312" w:eastAsia="仿宋_GB2312" w:cs="仿宋_GB2312"/>
          <w:sz w:val="32"/>
          <w:szCs w:val="32"/>
          <w:lang w:bidi="zh-TW"/>
        </w:rPr>
        <w:t>坚持基本公共服务水平与经济社会发展水平相适应，推动建立同人力资源社会保障事业发展需要相适应、同经济发展水平相匹配的财政投入稳定增长机制。推动完善财权事权划分，构建与事权匹配的人力资源社会保障公共服务经费分级保障机制，探索政府购买服务的新办法、新途径，健全工作经费保障机制，创新财政保障机制。积极争取国家</w:t>
      </w:r>
      <w:r>
        <w:rPr>
          <w:rFonts w:hint="eastAsia" w:ascii="仿宋_GB2312" w:hAnsi="仿宋_GB2312" w:eastAsia="仿宋_GB2312" w:cs="仿宋_GB2312"/>
          <w:sz w:val="32"/>
          <w:szCs w:val="32"/>
          <w:lang w:eastAsia="zh-CN" w:bidi="zh-TW"/>
        </w:rPr>
        <w:t>、</w:t>
      </w:r>
      <w:r>
        <w:rPr>
          <w:rFonts w:hint="eastAsia" w:ascii="仿宋_GB2312" w:hAnsi="仿宋_GB2312" w:eastAsia="仿宋_GB2312" w:cs="仿宋_GB2312"/>
          <w:sz w:val="32"/>
          <w:szCs w:val="32"/>
          <w:lang w:bidi="zh-TW"/>
        </w:rPr>
        <w:t>省和</w:t>
      </w:r>
      <w:r>
        <w:rPr>
          <w:rFonts w:hint="eastAsia" w:ascii="仿宋_GB2312" w:hAnsi="仿宋_GB2312" w:eastAsia="仿宋_GB2312" w:cs="仿宋_GB2312"/>
          <w:sz w:val="32"/>
          <w:szCs w:val="32"/>
          <w:lang w:eastAsia="zh-CN" w:bidi="zh-TW"/>
        </w:rPr>
        <w:t>市</w:t>
      </w:r>
      <w:r>
        <w:rPr>
          <w:rFonts w:hint="eastAsia" w:ascii="仿宋_GB2312" w:hAnsi="仿宋_GB2312" w:eastAsia="仿宋_GB2312" w:cs="仿宋_GB2312"/>
          <w:sz w:val="32"/>
          <w:szCs w:val="32"/>
          <w:lang w:bidi="zh-TW"/>
        </w:rPr>
        <w:t>财政的支持，各级财政预算中要优先安排就业和社保专项资金，加大对重大项目的投入力度，确保重点建设项目的顺利推进。加强人力资源社会保障专项资金管理，建立科学化精细化理财模式，提高专项资金使用绩效。</w:t>
      </w:r>
    </w:p>
    <w:p>
      <w:pPr>
        <w:pStyle w:val="2"/>
      </w:pP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Cambria" w:hAnsi="Cambria" w:eastAsia="楷体_GB2312"/>
          <w:color w:val="000000"/>
          <w:sz w:val="34"/>
        </w:rPr>
      </w:pPr>
      <w:bookmarkStart w:id="104" w:name="_Toc20485"/>
      <w:bookmarkStart w:id="105" w:name="_Toc700"/>
      <w:r>
        <w:rPr>
          <w:rFonts w:hint="eastAsia" w:ascii="Cambria" w:hAnsi="Cambria" w:eastAsia="楷体_GB2312"/>
          <w:color w:val="000000"/>
          <w:sz w:val="34"/>
        </w:rPr>
        <w:t>第三节  实施重大项目</w:t>
      </w:r>
      <w:bookmarkEnd w:id="104"/>
      <w:bookmarkEnd w:id="105"/>
    </w:p>
    <w:p>
      <w:pPr>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lang w:bidi="zh-TW"/>
        </w:rPr>
      </w:pPr>
      <w:r>
        <w:rPr>
          <w:rFonts w:hint="eastAsia" w:ascii="仿宋_GB2312" w:hAnsi="仿宋_GB2312" w:eastAsia="仿宋_GB2312" w:cs="仿宋_GB2312"/>
          <w:sz w:val="32"/>
          <w:szCs w:val="32"/>
          <w:lang w:bidi="zh-TW"/>
        </w:rPr>
        <w:t>针对人力资源和社会保障公共服务领域的关键部位和薄弱环节，因地制宜、突出重点，安排实施涉及公共就业、社会保障、人事人才、劳动关系、职业培训、信息化等方面的重大项目，实现重大政策措施与重大工程项目有机结合，促进基础设施的改善和管理服务能力的提升。加强项目实施的组织领导，明确项目实施责任主体，认真做好资金筹集、项目实施、竣工验收各项工作，确保项目保质保量如期完成。</w:t>
      </w:r>
    </w:p>
    <w:p>
      <w:pPr>
        <w:pStyle w:val="2"/>
      </w:pPr>
    </w:p>
    <w:p>
      <w:pPr>
        <w:pStyle w:val="4"/>
        <w:keepNext w:val="0"/>
        <w:keepLines w:val="0"/>
        <w:pageBreakBefore w:val="0"/>
        <w:kinsoku/>
        <w:wordWrap/>
        <w:overflowPunct/>
        <w:topLinePunct w:val="0"/>
        <w:autoSpaceDE/>
        <w:autoSpaceDN/>
        <w:bidi w:val="0"/>
        <w:adjustRightInd w:val="0"/>
        <w:snapToGrid w:val="0"/>
        <w:spacing w:before="120" w:beforeLines="50" w:after="120" w:afterLines="50" w:line="560" w:lineRule="exact"/>
        <w:ind w:left="200"/>
        <w:jc w:val="center"/>
        <w:rPr>
          <w:rFonts w:ascii="Cambria" w:hAnsi="Cambria" w:eastAsia="楷体_GB2312"/>
          <w:color w:val="000000"/>
          <w:sz w:val="34"/>
        </w:rPr>
      </w:pPr>
      <w:bookmarkStart w:id="106" w:name="_Toc15329"/>
      <w:bookmarkStart w:id="107" w:name="_Toc19185"/>
      <w:r>
        <w:rPr>
          <w:rFonts w:hint="eastAsia" w:ascii="Cambria" w:hAnsi="Cambria" w:eastAsia="楷体_GB2312"/>
          <w:color w:val="000000"/>
          <w:sz w:val="34"/>
        </w:rPr>
        <w:t>第四节  强化规划实施</w:t>
      </w:r>
      <w:bookmarkEnd w:id="106"/>
      <w:bookmarkEnd w:id="107"/>
    </w:p>
    <w:p>
      <w:pPr>
        <w:keepLines w:val="0"/>
        <w:pageBreakBefore w:val="0"/>
        <w:kinsoku/>
        <w:wordWrap/>
        <w:overflowPunct/>
        <w:topLinePunct w:val="0"/>
        <w:autoSpaceDE/>
        <w:autoSpaceDN/>
        <w:bidi w:val="0"/>
        <w:adjustRightInd w:val="0"/>
        <w:snapToGrid w:val="0"/>
        <w:spacing w:line="560" w:lineRule="exact"/>
        <w:ind w:firstLine="640" w:firstLineChars="200"/>
        <w:rPr>
          <w:rStyle w:val="17"/>
          <w:rFonts w:ascii="方正小标宋简体" w:hAnsi="仿宋" w:eastAsia="方正小标宋简体" w:cs="仿宋"/>
          <w:b/>
          <w:bCs/>
          <w:sz w:val="32"/>
          <w:szCs w:val="32"/>
        </w:rPr>
      </w:pPr>
      <w:r>
        <w:rPr>
          <w:rFonts w:hint="eastAsia" w:ascii="仿宋_GB2312" w:hAnsi="仿宋_GB2312" w:eastAsia="仿宋_GB2312" w:cs="仿宋_GB2312"/>
          <w:sz w:val="32"/>
          <w:szCs w:val="32"/>
          <w:lang w:bidi="zh-TW"/>
        </w:rPr>
        <w:t>建立健全规划实施机制，加强规划实施的动员部署、统筹协调和宏观指导，分解落实规划确定的发展目标和主要任务，制定重大项目实施管理办法，建立工作台账管理机制，明确责任分工，认真组织实施。各有关部门要积极配合，密切协作，加强对规划实施的动态监测和跟踪分析，及时发现和解决规划执行过程中存在的问题，定期组织对规划实施情况的检查，开展规划执行情况期中和期末评估，确保各项任务落到实处。</w:t>
      </w:r>
    </w:p>
    <w:p>
      <w:pPr>
        <w:keepLines w:val="0"/>
        <w:pageBreakBefore w:val="0"/>
        <w:kinsoku/>
        <w:wordWrap/>
        <w:overflowPunct/>
        <w:topLinePunct w:val="0"/>
        <w:autoSpaceDE/>
        <w:autoSpaceDN/>
        <w:bidi w:val="0"/>
        <w:adjustRightInd w:val="0"/>
        <w:snapToGrid w:val="0"/>
        <w:spacing w:before="360" w:beforeLines="150" w:line="560" w:lineRule="exact"/>
        <w:rPr>
          <w:rFonts w:ascii="仿宋_GB2312" w:hAnsi="仿宋_GB2312" w:eastAsia="仿宋_GB2312" w:cs="仿宋_GB2312"/>
          <w:b/>
          <w:sz w:val="28"/>
          <w:szCs w:val="28"/>
          <w:lang w:bidi="zh-TW"/>
        </w:rPr>
        <w:sectPr>
          <w:pgSz w:w="12240" w:h="15840"/>
          <w:pgMar w:top="1440" w:right="1800" w:bottom="1440" w:left="1800" w:header="720" w:footer="720" w:gutter="0"/>
          <w:pgNumType w:start="1"/>
          <w:cols w:space="720" w:num="1"/>
          <w:docGrid w:linePitch="286" w:charSpace="0"/>
        </w:sectPr>
      </w:pPr>
    </w:p>
    <w:p>
      <w:pPr>
        <w:pStyle w:val="3"/>
        <w:keepLines w:val="0"/>
        <w:pageBreakBefore w:val="0"/>
        <w:kinsoku/>
        <w:wordWrap/>
        <w:overflowPunct/>
        <w:topLinePunct w:val="0"/>
        <w:autoSpaceDE/>
        <w:autoSpaceDN/>
        <w:bidi w:val="0"/>
        <w:adjustRightInd w:val="0"/>
        <w:snapToGrid w:val="0"/>
        <w:spacing w:before="120" w:beforeLines="50" w:after="120" w:afterLines="50" w:line="560" w:lineRule="exact"/>
        <w:jc w:val="both"/>
        <w:rPr>
          <w:rFonts w:ascii="Calibri" w:hAnsi="Calibri" w:eastAsia="黑体"/>
          <w:sz w:val="36"/>
          <w:szCs w:val="36"/>
          <w:lang w:val="en-US" w:eastAsia="zh-CN"/>
        </w:rPr>
      </w:pPr>
      <w:bookmarkStart w:id="108" w:name="_Toc16750"/>
      <w:bookmarkStart w:id="109" w:name="_Toc6903"/>
      <w:r>
        <w:rPr>
          <w:rFonts w:hint="eastAsia" w:ascii="Calibri" w:hAnsi="Calibri" w:eastAsia="黑体"/>
          <w:sz w:val="36"/>
          <w:szCs w:val="36"/>
          <w:lang w:val="en-US" w:eastAsia="zh-CN"/>
        </w:rPr>
        <w:t>附件：汕尾市城区人力资源和社会保障事业发展“十四五”规划重大项目表</w:t>
      </w:r>
      <w:bookmarkEnd w:id="108"/>
      <w:bookmarkEnd w:id="109"/>
    </w:p>
    <w:tbl>
      <w:tblPr>
        <w:tblStyle w:val="14"/>
        <w:tblW w:w="12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266"/>
        <w:gridCol w:w="3066"/>
        <w:gridCol w:w="1995"/>
        <w:gridCol w:w="181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keepLines w:val="0"/>
              <w:pageBreakBefore w:val="0"/>
              <w:kinsoku/>
              <w:wordWrap/>
              <w:overflowPunct/>
              <w:topLinePunct w:val="0"/>
              <w:autoSpaceDE/>
              <w:autoSpaceDN/>
              <w:bidi w:val="0"/>
              <w:adjustRightInd w:val="0"/>
              <w:snapToGrid w:val="0"/>
              <w:spacing w:line="560" w:lineRule="exact"/>
              <w:jc w:val="center"/>
              <w:rPr>
                <w:rFonts w:ascii="楷体_GB2312" w:eastAsia="楷体_GB2312"/>
                <w:sz w:val="32"/>
                <w:szCs w:val="32"/>
              </w:rPr>
            </w:pPr>
            <w:r>
              <w:rPr>
                <w:rFonts w:hint="eastAsia" w:ascii="楷体_GB2312" w:eastAsia="楷体_GB2312"/>
                <w:sz w:val="32"/>
                <w:szCs w:val="32"/>
              </w:rPr>
              <w:t>序号</w:t>
            </w:r>
          </w:p>
        </w:tc>
        <w:tc>
          <w:tcPr>
            <w:tcW w:w="2266" w:type="dxa"/>
            <w:vAlign w:val="center"/>
          </w:tcPr>
          <w:p>
            <w:pPr>
              <w:keepLines w:val="0"/>
              <w:pageBreakBefore w:val="0"/>
              <w:kinsoku/>
              <w:wordWrap/>
              <w:overflowPunct/>
              <w:topLinePunct w:val="0"/>
              <w:autoSpaceDE/>
              <w:autoSpaceDN/>
              <w:bidi w:val="0"/>
              <w:adjustRightInd w:val="0"/>
              <w:snapToGrid w:val="0"/>
              <w:spacing w:line="560" w:lineRule="exact"/>
              <w:jc w:val="center"/>
              <w:rPr>
                <w:rFonts w:ascii="楷体_GB2312" w:eastAsia="楷体_GB2312"/>
                <w:sz w:val="32"/>
                <w:szCs w:val="32"/>
              </w:rPr>
            </w:pPr>
            <w:r>
              <w:rPr>
                <w:rFonts w:hint="eastAsia" w:ascii="楷体_GB2312" w:eastAsia="楷体_GB2312"/>
                <w:sz w:val="32"/>
                <w:szCs w:val="32"/>
              </w:rPr>
              <w:t>类别</w:t>
            </w:r>
          </w:p>
        </w:tc>
        <w:tc>
          <w:tcPr>
            <w:tcW w:w="3066" w:type="dxa"/>
            <w:vAlign w:val="center"/>
          </w:tcPr>
          <w:p>
            <w:pPr>
              <w:keepLines w:val="0"/>
              <w:pageBreakBefore w:val="0"/>
              <w:kinsoku/>
              <w:wordWrap/>
              <w:overflowPunct/>
              <w:topLinePunct w:val="0"/>
              <w:autoSpaceDE/>
              <w:autoSpaceDN/>
              <w:bidi w:val="0"/>
              <w:adjustRightInd w:val="0"/>
              <w:snapToGrid w:val="0"/>
              <w:spacing w:line="560" w:lineRule="exact"/>
              <w:jc w:val="center"/>
              <w:rPr>
                <w:rFonts w:ascii="楷体_GB2312" w:eastAsia="楷体_GB2312"/>
                <w:sz w:val="32"/>
                <w:szCs w:val="32"/>
              </w:rPr>
            </w:pPr>
            <w:r>
              <w:rPr>
                <w:rFonts w:hint="eastAsia" w:ascii="楷体_GB2312" w:eastAsia="楷体_GB2312"/>
                <w:sz w:val="32"/>
                <w:szCs w:val="32"/>
              </w:rPr>
              <w:t>项目名称</w:t>
            </w:r>
          </w:p>
        </w:tc>
        <w:tc>
          <w:tcPr>
            <w:tcW w:w="1995" w:type="dxa"/>
            <w:vAlign w:val="center"/>
          </w:tcPr>
          <w:p>
            <w:pPr>
              <w:keepLines w:val="0"/>
              <w:pageBreakBefore w:val="0"/>
              <w:kinsoku/>
              <w:wordWrap/>
              <w:overflowPunct/>
              <w:topLinePunct w:val="0"/>
              <w:autoSpaceDE/>
              <w:autoSpaceDN/>
              <w:bidi w:val="0"/>
              <w:adjustRightInd w:val="0"/>
              <w:snapToGrid w:val="0"/>
              <w:spacing w:line="560" w:lineRule="exact"/>
              <w:jc w:val="center"/>
              <w:rPr>
                <w:rFonts w:ascii="楷体_GB2312" w:eastAsia="楷体_GB2312"/>
                <w:sz w:val="32"/>
                <w:szCs w:val="32"/>
              </w:rPr>
            </w:pPr>
            <w:r>
              <w:rPr>
                <w:rFonts w:hint="eastAsia" w:ascii="楷体_GB2312" w:eastAsia="楷体_GB2312"/>
                <w:sz w:val="32"/>
                <w:szCs w:val="32"/>
              </w:rPr>
              <w:t>总投资（亿元）</w:t>
            </w:r>
          </w:p>
        </w:tc>
        <w:tc>
          <w:tcPr>
            <w:tcW w:w="1815" w:type="dxa"/>
            <w:vAlign w:val="center"/>
          </w:tcPr>
          <w:p>
            <w:pPr>
              <w:keepLines w:val="0"/>
              <w:pageBreakBefore w:val="0"/>
              <w:kinsoku/>
              <w:wordWrap/>
              <w:overflowPunct/>
              <w:topLinePunct w:val="0"/>
              <w:autoSpaceDE/>
              <w:autoSpaceDN/>
              <w:bidi w:val="0"/>
              <w:adjustRightInd w:val="0"/>
              <w:snapToGrid w:val="0"/>
              <w:spacing w:line="560" w:lineRule="exact"/>
              <w:jc w:val="center"/>
              <w:rPr>
                <w:rFonts w:ascii="楷体_GB2312" w:eastAsia="楷体_GB2312"/>
                <w:sz w:val="32"/>
                <w:szCs w:val="32"/>
              </w:rPr>
            </w:pPr>
            <w:r>
              <w:rPr>
                <w:rFonts w:hint="eastAsia" w:ascii="楷体_GB2312" w:eastAsia="楷体_GB2312"/>
                <w:sz w:val="32"/>
                <w:szCs w:val="32"/>
              </w:rPr>
              <w:t>启动时间</w:t>
            </w:r>
          </w:p>
        </w:tc>
        <w:tc>
          <w:tcPr>
            <w:tcW w:w="1845" w:type="dxa"/>
            <w:vAlign w:val="center"/>
          </w:tcPr>
          <w:p>
            <w:pPr>
              <w:keepLines w:val="0"/>
              <w:pageBreakBefore w:val="0"/>
              <w:kinsoku/>
              <w:wordWrap/>
              <w:overflowPunct/>
              <w:topLinePunct w:val="0"/>
              <w:autoSpaceDE/>
              <w:autoSpaceDN/>
              <w:bidi w:val="0"/>
              <w:adjustRightInd w:val="0"/>
              <w:snapToGrid w:val="0"/>
              <w:spacing w:line="560" w:lineRule="exact"/>
              <w:jc w:val="center"/>
              <w:rPr>
                <w:rFonts w:ascii="楷体_GB2312" w:eastAsia="楷体_GB2312"/>
                <w:sz w:val="32"/>
                <w:szCs w:val="32"/>
              </w:rPr>
            </w:pPr>
            <w:r>
              <w:rPr>
                <w:rFonts w:hint="eastAsia" w:ascii="楷体_GB2312" w:eastAsia="楷体_GB2312"/>
                <w:sz w:val="32"/>
                <w:szCs w:val="32"/>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keepLines w:val="0"/>
              <w:pageBreakBefore w:val="0"/>
              <w:kinsoku/>
              <w:wordWrap/>
              <w:overflowPunct/>
              <w:topLinePunct w:val="0"/>
              <w:autoSpaceDE/>
              <w:autoSpaceDN/>
              <w:bidi w:val="0"/>
              <w:adjustRightInd w:val="0"/>
              <w:snapToGrid w:val="0"/>
              <w:spacing w:line="560" w:lineRule="exact"/>
              <w:jc w:val="center"/>
              <w:rPr>
                <w:rFonts w:ascii="楷体_GB2312" w:eastAsia="楷体_GB2312"/>
                <w:sz w:val="32"/>
                <w:szCs w:val="32"/>
              </w:rPr>
            </w:pPr>
          </w:p>
        </w:tc>
        <w:tc>
          <w:tcPr>
            <w:tcW w:w="2266" w:type="dxa"/>
            <w:vAlign w:val="center"/>
          </w:tcPr>
          <w:p>
            <w:pPr>
              <w:keepLines w:val="0"/>
              <w:pageBreakBefore w:val="0"/>
              <w:kinsoku/>
              <w:wordWrap/>
              <w:overflowPunct/>
              <w:topLinePunct w:val="0"/>
              <w:autoSpaceDE/>
              <w:autoSpaceDN/>
              <w:bidi w:val="0"/>
              <w:adjustRightInd w:val="0"/>
              <w:snapToGrid w:val="0"/>
              <w:spacing w:line="560" w:lineRule="exact"/>
              <w:jc w:val="center"/>
              <w:rPr>
                <w:rFonts w:ascii="楷体_GB2312" w:eastAsia="楷体_GB2312"/>
                <w:sz w:val="32"/>
                <w:szCs w:val="32"/>
              </w:rPr>
            </w:pPr>
            <w:r>
              <w:rPr>
                <w:rFonts w:hint="eastAsia" w:ascii="楷体_GB2312" w:eastAsia="楷体_GB2312"/>
                <w:sz w:val="32"/>
                <w:szCs w:val="32"/>
              </w:rPr>
              <w:t>就业</w:t>
            </w:r>
          </w:p>
        </w:tc>
        <w:tc>
          <w:tcPr>
            <w:tcW w:w="3066" w:type="dxa"/>
            <w:vAlign w:val="center"/>
          </w:tcPr>
          <w:p>
            <w:pPr>
              <w:keepLines w:val="0"/>
              <w:pageBreakBefore w:val="0"/>
              <w:kinsoku/>
              <w:wordWrap/>
              <w:overflowPunct/>
              <w:topLinePunct w:val="0"/>
              <w:autoSpaceDE/>
              <w:autoSpaceDN/>
              <w:bidi w:val="0"/>
              <w:adjustRightInd w:val="0"/>
              <w:snapToGrid w:val="0"/>
              <w:spacing w:line="560" w:lineRule="exact"/>
              <w:jc w:val="center"/>
              <w:rPr>
                <w:rFonts w:ascii="楷体_GB2312" w:eastAsia="楷体_GB2312"/>
                <w:sz w:val="32"/>
                <w:szCs w:val="32"/>
              </w:rPr>
            </w:pPr>
          </w:p>
        </w:tc>
        <w:tc>
          <w:tcPr>
            <w:tcW w:w="1995" w:type="dxa"/>
            <w:vAlign w:val="center"/>
          </w:tcPr>
          <w:p>
            <w:pPr>
              <w:keepLines w:val="0"/>
              <w:pageBreakBefore w:val="0"/>
              <w:kinsoku/>
              <w:wordWrap/>
              <w:overflowPunct/>
              <w:topLinePunct w:val="0"/>
              <w:autoSpaceDE/>
              <w:autoSpaceDN/>
              <w:bidi w:val="0"/>
              <w:adjustRightInd w:val="0"/>
              <w:snapToGrid w:val="0"/>
              <w:spacing w:line="560" w:lineRule="exact"/>
              <w:jc w:val="center"/>
              <w:rPr>
                <w:rFonts w:ascii="楷体_GB2312" w:eastAsia="楷体_GB2312"/>
                <w:sz w:val="32"/>
                <w:szCs w:val="32"/>
              </w:rPr>
            </w:pPr>
          </w:p>
        </w:tc>
        <w:tc>
          <w:tcPr>
            <w:tcW w:w="1815" w:type="dxa"/>
            <w:vAlign w:val="center"/>
          </w:tcPr>
          <w:p>
            <w:pPr>
              <w:keepLines w:val="0"/>
              <w:pageBreakBefore w:val="0"/>
              <w:kinsoku/>
              <w:wordWrap/>
              <w:overflowPunct/>
              <w:topLinePunct w:val="0"/>
              <w:autoSpaceDE/>
              <w:autoSpaceDN/>
              <w:bidi w:val="0"/>
              <w:adjustRightInd w:val="0"/>
              <w:snapToGrid w:val="0"/>
              <w:spacing w:line="560" w:lineRule="exact"/>
              <w:jc w:val="center"/>
              <w:rPr>
                <w:rFonts w:ascii="楷体_GB2312" w:eastAsia="楷体_GB2312"/>
                <w:sz w:val="32"/>
                <w:szCs w:val="32"/>
              </w:rPr>
            </w:pPr>
          </w:p>
        </w:tc>
        <w:tc>
          <w:tcPr>
            <w:tcW w:w="1845" w:type="dxa"/>
            <w:vAlign w:val="center"/>
          </w:tcPr>
          <w:p>
            <w:pPr>
              <w:keepLines w:val="0"/>
              <w:pageBreakBefore w:val="0"/>
              <w:kinsoku/>
              <w:wordWrap/>
              <w:overflowPunct/>
              <w:topLinePunct w:val="0"/>
              <w:autoSpaceDE/>
              <w:autoSpaceDN/>
              <w:bidi w:val="0"/>
              <w:adjustRightInd w:val="0"/>
              <w:snapToGrid w:val="0"/>
              <w:spacing w:line="560" w:lineRule="exact"/>
              <w:jc w:val="center"/>
              <w:rPr>
                <w:rFonts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keepLines w:val="0"/>
              <w:pageBreakBefore w:val="0"/>
              <w:kinsoku/>
              <w:wordWrap/>
              <w:overflowPunct/>
              <w:topLinePunct w:val="0"/>
              <w:autoSpaceDE/>
              <w:autoSpaceDN/>
              <w:bidi w:val="0"/>
              <w:adjustRightInd w:val="0"/>
              <w:snapToGrid w:val="0"/>
              <w:spacing w:line="560" w:lineRule="exact"/>
              <w:jc w:val="center"/>
              <w:rPr>
                <w:rFonts w:ascii="楷体_GB2312" w:eastAsia="楷体_GB2312"/>
                <w:sz w:val="32"/>
                <w:szCs w:val="32"/>
              </w:rPr>
            </w:pPr>
          </w:p>
        </w:tc>
        <w:tc>
          <w:tcPr>
            <w:tcW w:w="2266" w:type="dxa"/>
            <w:vAlign w:val="center"/>
          </w:tcPr>
          <w:p>
            <w:pPr>
              <w:keepLines w:val="0"/>
              <w:pageBreakBefore w:val="0"/>
              <w:kinsoku/>
              <w:wordWrap/>
              <w:overflowPunct/>
              <w:topLinePunct w:val="0"/>
              <w:autoSpaceDE/>
              <w:autoSpaceDN/>
              <w:bidi w:val="0"/>
              <w:adjustRightInd w:val="0"/>
              <w:snapToGrid w:val="0"/>
              <w:spacing w:line="560" w:lineRule="exact"/>
              <w:jc w:val="center"/>
              <w:rPr>
                <w:rFonts w:ascii="楷体_GB2312" w:eastAsia="楷体_GB2312"/>
                <w:sz w:val="32"/>
                <w:szCs w:val="32"/>
              </w:rPr>
            </w:pPr>
            <w:r>
              <w:rPr>
                <w:rFonts w:hint="eastAsia" w:ascii="楷体_GB2312" w:eastAsia="楷体_GB2312"/>
                <w:sz w:val="32"/>
                <w:szCs w:val="32"/>
              </w:rPr>
              <w:t>社会保险</w:t>
            </w:r>
          </w:p>
        </w:tc>
        <w:tc>
          <w:tcPr>
            <w:tcW w:w="3066" w:type="dxa"/>
            <w:vAlign w:val="center"/>
          </w:tcPr>
          <w:p>
            <w:pPr>
              <w:keepLines w:val="0"/>
              <w:pageBreakBefore w:val="0"/>
              <w:kinsoku/>
              <w:wordWrap/>
              <w:overflowPunct/>
              <w:topLinePunct w:val="0"/>
              <w:autoSpaceDE/>
              <w:autoSpaceDN/>
              <w:bidi w:val="0"/>
              <w:adjustRightInd w:val="0"/>
              <w:snapToGrid w:val="0"/>
              <w:spacing w:line="560" w:lineRule="exact"/>
              <w:jc w:val="center"/>
              <w:rPr>
                <w:rFonts w:ascii="楷体_GB2312" w:eastAsia="楷体_GB2312"/>
                <w:sz w:val="32"/>
                <w:szCs w:val="32"/>
              </w:rPr>
            </w:pPr>
          </w:p>
        </w:tc>
        <w:tc>
          <w:tcPr>
            <w:tcW w:w="1995" w:type="dxa"/>
            <w:vAlign w:val="center"/>
          </w:tcPr>
          <w:p>
            <w:pPr>
              <w:keepLines w:val="0"/>
              <w:pageBreakBefore w:val="0"/>
              <w:kinsoku/>
              <w:wordWrap/>
              <w:overflowPunct/>
              <w:topLinePunct w:val="0"/>
              <w:autoSpaceDE/>
              <w:autoSpaceDN/>
              <w:bidi w:val="0"/>
              <w:adjustRightInd w:val="0"/>
              <w:snapToGrid w:val="0"/>
              <w:spacing w:line="560" w:lineRule="exact"/>
              <w:jc w:val="center"/>
              <w:rPr>
                <w:rFonts w:ascii="楷体_GB2312" w:eastAsia="楷体_GB2312"/>
                <w:sz w:val="32"/>
                <w:szCs w:val="32"/>
              </w:rPr>
            </w:pPr>
          </w:p>
        </w:tc>
        <w:tc>
          <w:tcPr>
            <w:tcW w:w="1815" w:type="dxa"/>
            <w:vAlign w:val="center"/>
          </w:tcPr>
          <w:p>
            <w:pPr>
              <w:keepLines w:val="0"/>
              <w:pageBreakBefore w:val="0"/>
              <w:kinsoku/>
              <w:wordWrap/>
              <w:overflowPunct/>
              <w:topLinePunct w:val="0"/>
              <w:autoSpaceDE/>
              <w:autoSpaceDN/>
              <w:bidi w:val="0"/>
              <w:adjustRightInd w:val="0"/>
              <w:snapToGrid w:val="0"/>
              <w:spacing w:line="560" w:lineRule="exact"/>
              <w:jc w:val="center"/>
              <w:rPr>
                <w:rFonts w:ascii="楷体_GB2312" w:eastAsia="楷体_GB2312"/>
                <w:sz w:val="32"/>
                <w:szCs w:val="32"/>
              </w:rPr>
            </w:pPr>
          </w:p>
        </w:tc>
        <w:tc>
          <w:tcPr>
            <w:tcW w:w="1845" w:type="dxa"/>
            <w:vAlign w:val="center"/>
          </w:tcPr>
          <w:p>
            <w:pPr>
              <w:keepLines w:val="0"/>
              <w:pageBreakBefore w:val="0"/>
              <w:kinsoku/>
              <w:wordWrap/>
              <w:overflowPunct/>
              <w:topLinePunct w:val="0"/>
              <w:autoSpaceDE/>
              <w:autoSpaceDN/>
              <w:bidi w:val="0"/>
              <w:adjustRightInd w:val="0"/>
              <w:snapToGrid w:val="0"/>
              <w:spacing w:line="560" w:lineRule="exact"/>
              <w:jc w:val="center"/>
              <w:rPr>
                <w:rFonts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9" w:type="dxa"/>
            <w:vAlign w:val="center"/>
          </w:tcPr>
          <w:p>
            <w:pPr>
              <w:keepLines w:val="0"/>
              <w:pageBreakBefore w:val="0"/>
              <w:kinsoku/>
              <w:wordWrap/>
              <w:overflowPunct/>
              <w:topLinePunct w:val="0"/>
              <w:autoSpaceDE/>
              <w:autoSpaceDN/>
              <w:bidi w:val="0"/>
              <w:adjustRightInd w:val="0"/>
              <w:snapToGrid w:val="0"/>
              <w:spacing w:line="560" w:lineRule="exact"/>
              <w:jc w:val="center"/>
              <w:rPr>
                <w:rFonts w:hint="eastAsia" w:ascii="楷体_GB2312" w:eastAsia="楷体_GB2312"/>
                <w:sz w:val="32"/>
                <w:szCs w:val="32"/>
                <w:lang w:val="en-US" w:eastAsia="zh-CN"/>
              </w:rPr>
            </w:pPr>
            <w:r>
              <w:rPr>
                <w:rFonts w:hint="eastAsia" w:ascii="楷体_GB2312" w:eastAsia="楷体_GB2312"/>
                <w:sz w:val="32"/>
                <w:szCs w:val="32"/>
                <w:lang w:val="en-US" w:eastAsia="zh-CN"/>
              </w:rPr>
              <w:t>1</w:t>
            </w:r>
          </w:p>
        </w:tc>
        <w:tc>
          <w:tcPr>
            <w:tcW w:w="2266" w:type="dxa"/>
            <w:vAlign w:val="center"/>
          </w:tcPr>
          <w:p>
            <w:pPr>
              <w:keepLines w:val="0"/>
              <w:pageBreakBefore w:val="0"/>
              <w:tabs>
                <w:tab w:val="left" w:pos="554"/>
              </w:tabs>
              <w:kinsoku/>
              <w:wordWrap/>
              <w:overflowPunct/>
              <w:topLinePunct w:val="0"/>
              <w:autoSpaceDE/>
              <w:autoSpaceDN/>
              <w:bidi w:val="0"/>
              <w:adjustRightInd w:val="0"/>
              <w:snapToGrid w:val="0"/>
              <w:spacing w:line="560" w:lineRule="exact"/>
              <w:jc w:val="left"/>
              <w:rPr>
                <w:rFonts w:hint="eastAsia" w:ascii="楷体_GB2312" w:eastAsia="楷体_GB2312"/>
                <w:sz w:val="32"/>
                <w:szCs w:val="32"/>
                <w:lang w:eastAsia="zh-CN"/>
              </w:rPr>
            </w:pPr>
            <w:r>
              <w:rPr>
                <w:rFonts w:hint="eastAsia" w:ascii="楷体_GB2312" w:eastAsia="楷体_GB2312"/>
                <w:sz w:val="32"/>
                <w:szCs w:val="32"/>
                <w:lang w:eastAsia="zh-CN"/>
              </w:rPr>
              <w:tab/>
            </w:r>
          </w:p>
        </w:tc>
        <w:tc>
          <w:tcPr>
            <w:tcW w:w="3066" w:type="dxa"/>
            <w:vAlign w:val="center"/>
          </w:tcPr>
          <w:p>
            <w:pPr>
              <w:keepLines w:val="0"/>
              <w:pageBreakBefore w:val="0"/>
              <w:kinsoku/>
              <w:wordWrap/>
              <w:overflowPunct/>
              <w:topLinePunct w:val="0"/>
              <w:autoSpaceDE/>
              <w:autoSpaceDN/>
              <w:bidi w:val="0"/>
              <w:adjustRightInd w:val="0"/>
              <w:snapToGrid w:val="0"/>
              <w:spacing w:line="560" w:lineRule="exact"/>
              <w:jc w:val="center"/>
              <w:rPr>
                <w:rFonts w:ascii="楷体_GB2312" w:eastAsia="楷体_GB2312"/>
                <w:sz w:val="32"/>
                <w:szCs w:val="32"/>
              </w:rPr>
            </w:pPr>
            <w:r>
              <w:rPr>
                <w:rFonts w:hint="eastAsia" w:ascii="楷体_GB2312" w:eastAsia="楷体_GB2312"/>
                <w:sz w:val="32"/>
                <w:szCs w:val="32"/>
              </w:rPr>
              <w:t>汕尾市城区人力资源社会保障综合服务中心建设项目</w:t>
            </w:r>
          </w:p>
        </w:tc>
        <w:tc>
          <w:tcPr>
            <w:tcW w:w="1995" w:type="dxa"/>
            <w:vAlign w:val="center"/>
          </w:tcPr>
          <w:p>
            <w:pPr>
              <w:keepLines w:val="0"/>
              <w:pageBreakBefore w:val="0"/>
              <w:kinsoku/>
              <w:wordWrap/>
              <w:overflowPunct/>
              <w:topLinePunct w:val="0"/>
              <w:autoSpaceDE/>
              <w:autoSpaceDN/>
              <w:bidi w:val="0"/>
              <w:adjustRightInd w:val="0"/>
              <w:snapToGrid w:val="0"/>
              <w:spacing w:line="560" w:lineRule="exact"/>
              <w:jc w:val="center"/>
              <w:rPr>
                <w:rFonts w:hint="default" w:ascii="楷体_GB2312" w:eastAsia="楷体_GB2312"/>
                <w:sz w:val="32"/>
                <w:szCs w:val="32"/>
                <w:lang w:val="en-US" w:eastAsia="zh-CN"/>
              </w:rPr>
            </w:pPr>
            <w:r>
              <w:rPr>
                <w:rFonts w:hint="eastAsia" w:ascii="楷体_GB2312" w:eastAsia="楷体_GB2312"/>
                <w:sz w:val="32"/>
                <w:szCs w:val="32"/>
                <w:lang w:val="en-US" w:eastAsia="zh-CN"/>
              </w:rPr>
              <w:t>0.35</w:t>
            </w:r>
          </w:p>
        </w:tc>
        <w:tc>
          <w:tcPr>
            <w:tcW w:w="1815" w:type="dxa"/>
            <w:vAlign w:val="center"/>
          </w:tcPr>
          <w:p>
            <w:pPr>
              <w:keepLines w:val="0"/>
              <w:pageBreakBefore w:val="0"/>
              <w:kinsoku/>
              <w:wordWrap/>
              <w:overflowPunct/>
              <w:topLinePunct w:val="0"/>
              <w:autoSpaceDE/>
              <w:autoSpaceDN/>
              <w:bidi w:val="0"/>
              <w:adjustRightInd w:val="0"/>
              <w:snapToGrid w:val="0"/>
              <w:spacing w:line="560" w:lineRule="exact"/>
              <w:jc w:val="center"/>
              <w:rPr>
                <w:rFonts w:hint="default" w:ascii="楷体_GB2312" w:eastAsia="楷体_GB2312"/>
                <w:sz w:val="32"/>
                <w:szCs w:val="32"/>
                <w:lang w:val="en-US" w:eastAsia="zh-CN"/>
              </w:rPr>
            </w:pPr>
            <w:r>
              <w:rPr>
                <w:rFonts w:hint="eastAsia" w:ascii="楷体_GB2312" w:eastAsia="楷体_GB2312"/>
                <w:sz w:val="32"/>
                <w:szCs w:val="32"/>
                <w:lang w:val="en-US" w:eastAsia="zh-CN"/>
              </w:rPr>
              <w:t>2020</w:t>
            </w:r>
          </w:p>
        </w:tc>
        <w:tc>
          <w:tcPr>
            <w:tcW w:w="1845" w:type="dxa"/>
            <w:vAlign w:val="center"/>
          </w:tcPr>
          <w:p>
            <w:pPr>
              <w:keepLines w:val="0"/>
              <w:pageBreakBefore w:val="0"/>
              <w:kinsoku/>
              <w:wordWrap/>
              <w:overflowPunct/>
              <w:topLinePunct w:val="0"/>
              <w:autoSpaceDE/>
              <w:autoSpaceDN/>
              <w:bidi w:val="0"/>
              <w:adjustRightInd w:val="0"/>
              <w:snapToGrid w:val="0"/>
              <w:spacing w:line="560" w:lineRule="exact"/>
              <w:jc w:val="center"/>
              <w:rPr>
                <w:rFonts w:hint="default" w:ascii="楷体_GB2312" w:eastAsia="楷体_GB2312"/>
                <w:sz w:val="32"/>
                <w:szCs w:val="32"/>
                <w:lang w:val="en-US" w:eastAsia="zh-CN"/>
              </w:rPr>
            </w:pPr>
            <w:r>
              <w:rPr>
                <w:rFonts w:hint="eastAsia" w:ascii="楷体_GB2312" w:eastAsia="楷体_GB2312"/>
                <w:sz w:val="32"/>
                <w:szCs w:val="32"/>
                <w:lang w:val="en-US" w:eastAsia="zh-CN"/>
              </w:rPr>
              <w:t>2023</w:t>
            </w:r>
          </w:p>
        </w:tc>
      </w:tr>
    </w:tbl>
    <w:p>
      <w:pPr>
        <w:keepLines w:val="0"/>
        <w:pageBreakBefore w:val="0"/>
        <w:kinsoku/>
        <w:wordWrap/>
        <w:overflowPunct/>
        <w:topLinePunct w:val="0"/>
        <w:autoSpaceDE/>
        <w:autoSpaceDN/>
        <w:bidi w:val="0"/>
        <w:spacing w:line="560" w:lineRule="exact"/>
      </w:pPr>
    </w:p>
    <w:sectPr>
      <w:pgSz w:w="15840" w:h="12240" w:orient="landscape"/>
      <w:pgMar w:top="1797" w:right="1440" w:bottom="1797"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2416437"/>
    </w:sdtPr>
    <w:sdtEndPr>
      <w:rPr>
        <w:rFonts w:asciiTheme="minorEastAsia" w:hAnsiTheme="minorEastAsia"/>
        <w:sz w:val="24"/>
        <w:szCs w:val="24"/>
      </w:rPr>
    </w:sdtEndPr>
    <w:sdtContent>
      <w:p>
        <w:pPr>
          <w:pStyle w:val="8"/>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1</w:t>
        </w:r>
        <w:r>
          <w:rPr>
            <w:rFonts w:asciiTheme="minorEastAsia" w:hAnsiTheme="minorEastAsia"/>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94514"/>
    <w:multiLevelType w:val="singleLevel"/>
    <w:tmpl w:val="B9C94514"/>
    <w:lvl w:ilvl="0" w:tentative="0">
      <w:start w:val="7"/>
      <w:numFmt w:val="chineseCounting"/>
      <w:suff w:val="space"/>
      <w:lvlText w:val="第%1章"/>
      <w:lvlJc w:val="left"/>
      <w:rPr>
        <w:rFonts w:hint="eastAsia"/>
      </w:rPr>
    </w:lvl>
  </w:abstractNum>
  <w:abstractNum w:abstractNumId="1">
    <w:nsid w:val="47A7BB90"/>
    <w:multiLevelType w:val="singleLevel"/>
    <w:tmpl w:val="47A7BB90"/>
    <w:lvl w:ilvl="0" w:tentative="0">
      <w:start w:val="9"/>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67"/>
    <w:rsid w:val="00006A1B"/>
    <w:rsid w:val="00053EE5"/>
    <w:rsid w:val="000578E9"/>
    <w:rsid w:val="00070AE4"/>
    <w:rsid w:val="0008592B"/>
    <w:rsid w:val="000A0D79"/>
    <w:rsid w:val="000D7665"/>
    <w:rsid w:val="000E0A67"/>
    <w:rsid w:val="00155BBA"/>
    <w:rsid w:val="001644A7"/>
    <w:rsid w:val="00165EF7"/>
    <w:rsid w:val="00167E6F"/>
    <w:rsid w:val="00172C4C"/>
    <w:rsid w:val="001D138E"/>
    <w:rsid w:val="002075C1"/>
    <w:rsid w:val="002E365D"/>
    <w:rsid w:val="00324AA0"/>
    <w:rsid w:val="00344769"/>
    <w:rsid w:val="00362B0B"/>
    <w:rsid w:val="00373BF8"/>
    <w:rsid w:val="00374087"/>
    <w:rsid w:val="00376202"/>
    <w:rsid w:val="003A6A99"/>
    <w:rsid w:val="003B2904"/>
    <w:rsid w:val="003D0434"/>
    <w:rsid w:val="004331F1"/>
    <w:rsid w:val="0043549F"/>
    <w:rsid w:val="0046220F"/>
    <w:rsid w:val="00482B7D"/>
    <w:rsid w:val="004D491D"/>
    <w:rsid w:val="00546EDD"/>
    <w:rsid w:val="0058549D"/>
    <w:rsid w:val="00597CE0"/>
    <w:rsid w:val="005A4C8C"/>
    <w:rsid w:val="005F73DF"/>
    <w:rsid w:val="006363BF"/>
    <w:rsid w:val="00675B24"/>
    <w:rsid w:val="006A032F"/>
    <w:rsid w:val="006B432A"/>
    <w:rsid w:val="006B57D9"/>
    <w:rsid w:val="006B7D0B"/>
    <w:rsid w:val="00734148"/>
    <w:rsid w:val="00736310"/>
    <w:rsid w:val="007417D4"/>
    <w:rsid w:val="00742ADF"/>
    <w:rsid w:val="007962EE"/>
    <w:rsid w:val="007B4C18"/>
    <w:rsid w:val="008500B0"/>
    <w:rsid w:val="00851D2C"/>
    <w:rsid w:val="008523B9"/>
    <w:rsid w:val="00861D9D"/>
    <w:rsid w:val="00880D58"/>
    <w:rsid w:val="008960D5"/>
    <w:rsid w:val="008A7B5F"/>
    <w:rsid w:val="008C5777"/>
    <w:rsid w:val="008F28FF"/>
    <w:rsid w:val="00900261"/>
    <w:rsid w:val="00917A9D"/>
    <w:rsid w:val="00935913"/>
    <w:rsid w:val="00952D89"/>
    <w:rsid w:val="009D327E"/>
    <w:rsid w:val="009F1408"/>
    <w:rsid w:val="00A31438"/>
    <w:rsid w:val="00A508D1"/>
    <w:rsid w:val="00A51808"/>
    <w:rsid w:val="00A84423"/>
    <w:rsid w:val="00A92CBE"/>
    <w:rsid w:val="00AC1CF8"/>
    <w:rsid w:val="00AE6862"/>
    <w:rsid w:val="00AE7B5D"/>
    <w:rsid w:val="00AF2413"/>
    <w:rsid w:val="00B75D04"/>
    <w:rsid w:val="00BC00BC"/>
    <w:rsid w:val="00BE4F99"/>
    <w:rsid w:val="00BF01E6"/>
    <w:rsid w:val="00BF4D78"/>
    <w:rsid w:val="00C0624D"/>
    <w:rsid w:val="00C612EC"/>
    <w:rsid w:val="00CB7646"/>
    <w:rsid w:val="00CD3517"/>
    <w:rsid w:val="00CD3CFE"/>
    <w:rsid w:val="00D31F50"/>
    <w:rsid w:val="00D94E23"/>
    <w:rsid w:val="00DB2512"/>
    <w:rsid w:val="00DC24FC"/>
    <w:rsid w:val="00E01EE5"/>
    <w:rsid w:val="00E1013A"/>
    <w:rsid w:val="00E22539"/>
    <w:rsid w:val="00E339F1"/>
    <w:rsid w:val="00E538C4"/>
    <w:rsid w:val="00E7454C"/>
    <w:rsid w:val="00E90CD9"/>
    <w:rsid w:val="00EA5176"/>
    <w:rsid w:val="00EC2CDA"/>
    <w:rsid w:val="00F03C27"/>
    <w:rsid w:val="00F05433"/>
    <w:rsid w:val="00F338F7"/>
    <w:rsid w:val="00F60BC3"/>
    <w:rsid w:val="00F8496E"/>
    <w:rsid w:val="00FE0748"/>
    <w:rsid w:val="00FE79E6"/>
    <w:rsid w:val="01052010"/>
    <w:rsid w:val="01282E62"/>
    <w:rsid w:val="01304A6D"/>
    <w:rsid w:val="01532B32"/>
    <w:rsid w:val="01C476EE"/>
    <w:rsid w:val="01EC5E17"/>
    <w:rsid w:val="02110B3C"/>
    <w:rsid w:val="02847A88"/>
    <w:rsid w:val="03A24E08"/>
    <w:rsid w:val="04584926"/>
    <w:rsid w:val="06BA455D"/>
    <w:rsid w:val="07153E89"/>
    <w:rsid w:val="072A0337"/>
    <w:rsid w:val="07AA0EFE"/>
    <w:rsid w:val="07D56F36"/>
    <w:rsid w:val="09E4513E"/>
    <w:rsid w:val="0B9875E5"/>
    <w:rsid w:val="0BAC66DF"/>
    <w:rsid w:val="0C0F2239"/>
    <w:rsid w:val="0C143FBD"/>
    <w:rsid w:val="0C1E7BF8"/>
    <w:rsid w:val="0CB52C57"/>
    <w:rsid w:val="0D1B0366"/>
    <w:rsid w:val="0D4378A2"/>
    <w:rsid w:val="0D892EDB"/>
    <w:rsid w:val="0EF97E46"/>
    <w:rsid w:val="0FAC1B85"/>
    <w:rsid w:val="10AC13BA"/>
    <w:rsid w:val="1158124A"/>
    <w:rsid w:val="12253B95"/>
    <w:rsid w:val="12A30ED6"/>
    <w:rsid w:val="13E343D7"/>
    <w:rsid w:val="13E742AD"/>
    <w:rsid w:val="14CE051F"/>
    <w:rsid w:val="14CF3D09"/>
    <w:rsid w:val="156F29B6"/>
    <w:rsid w:val="16592792"/>
    <w:rsid w:val="168C1F1B"/>
    <w:rsid w:val="173A2DBA"/>
    <w:rsid w:val="17861706"/>
    <w:rsid w:val="17DC63BD"/>
    <w:rsid w:val="17E92C40"/>
    <w:rsid w:val="189F358D"/>
    <w:rsid w:val="18A618E4"/>
    <w:rsid w:val="19D25281"/>
    <w:rsid w:val="1A7726C5"/>
    <w:rsid w:val="1B495A57"/>
    <w:rsid w:val="1B724FAE"/>
    <w:rsid w:val="1D4209B0"/>
    <w:rsid w:val="1E581CFE"/>
    <w:rsid w:val="1ED8781E"/>
    <w:rsid w:val="20106833"/>
    <w:rsid w:val="20EC0B19"/>
    <w:rsid w:val="21B42AD6"/>
    <w:rsid w:val="21FC3431"/>
    <w:rsid w:val="23455B71"/>
    <w:rsid w:val="25D43B9F"/>
    <w:rsid w:val="2717504A"/>
    <w:rsid w:val="2730755F"/>
    <w:rsid w:val="28920480"/>
    <w:rsid w:val="28E84B02"/>
    <w:rsid w:val="2B47039E"/>
    <w:rsid w:val="2CE7345E"/>
    <w:rsid w:val="2D4B4871"/>
    <w:rsid w:val="2E232138"/>
    <w:rsid w:val="2E8D1A7C"/>
    <w:rsid w:val="2E9A7907"/>
    <w:rsid w:val="2EBE7AA1"/>
    <w:rsid w:val="2F452CAE"/>
    <w:rsid w:val="2FCD79A7"/>
    <w:rsid w:val="2FDA7FBE"/>
    <w:rsid w:val="30EF75DF"/>
    <w:rsid w:val="3104732E"/>
    <w:rsid w:val="319B4282"/>
    <w:rsid w:val="31AC3642"/>
    <w:rsid w:val="31C82ABA"/>
    <w:rsid w:val="323C7542"/>
    <w:rsid w:val="32846D19"/>
    <w:rsid w:val="329D378B"/>
    <w:rsid w:val="32A46160"/>
    <w:rsid w:val="332928F2"/>
    <w:rsid w:val="336F1825"/>
    <w:rsid w:val="34291253"/>
    <w:rsid w:val="349D22C0"/>
    <w:rsid w:val="36DF4569"/>
    <w:rsid w:val="379268C1"/>
    <w:rsid w:val="38056987"/>
    <w:rsid w:val="38486C0E"/>
    <w:rsid w:val="3933368E"/>
    <w:rsid w:val="3A9D66C5"/>
    <w:rsid w:val="3ACE7FFB"/>
    <w:rsid w:val="3CF33216"/>
    <w:rsid w:val="3DDF2077"/>
    <w:rsid w:val="3DF24AD0"/>
    <w:rsid w:val="3EAF2804"/>
    <w:rsid w:val="3EB077EE"/>
    <w:rsid w:val="3F6C08A3"/>
    <w:rsid w:val="3FD91CE7"/>
    <w:rsid w:val="408700F6"/>
    <w:rsid w:val="41A629FA"/>
    <w:rsid w:val="421F44F3"/>
    <w:rsid w:val="422E137F"/>
    <w:rsid w:val="42F17BD1"/>
    <w:rsid w:val="42FC398F"/>
    <w:rsid w:val="457058F3"/>
    <w:rsid w:val="4636055A"/>
    <w:rsid w:val="46A774E5"/>
    <w:rsid w:val="46C7182E"/>
    <w:rsid w:val="46DC2848"/>
    <w:rsid w:val="473F384E"/>
    <w:rsid w:val="483917B9"/>
    <w:rsid w:val="487970CD"/>
    <w:rsid w:val="49A03796"/>
    <w:rsid w:val="4AE4195E"/>
    <w:rsid w:val="4BD018D3"/>
    <w:rsid w:val="4D420407"/>
    <w:rsid w:val="4D923502"/>
    <w:rsid w:val="4E6E1D32"/>
    <w:rsid w:val="4F0C36E3"/>
    <w:rsid w:val="4F2908CF"/>
    <w:rsid w:val="50016328"/>
    <w:rsid w:val="50331AC5"/>
    <w:rsid w:val="53C464A1"/>
    <w:rsid w:val="54381744"/>
    <w:rsid w:val="543903A5"/>
    <w:rsid w:val="549870A0"/>
    <w:rsid w:val="56105A54"/>
    <w:rsid w:val="56701E55"/>
    <w:rsid w:val="56BB4098"/>
    <w:rsid w:val="571E096B"/>
    <w:rsid w:val="572C48AA"/>
    <w:rsid w:val="573B5393"/>
    <w:rsid w:val="577662BF"/>
    <w:rsid w:val="57C57C38"/>
    <w:rsid w:val="57CD392D"/>
    <w:rsid w:val="57F77222"/>
    <w:rsid w:val="58602A02"/>
    <w:rsid w:val="59513226"/>
    <w:rsid w:val="5A9A6CCB"/>
    <w:rsid w:val="5B3C1952"/>
    <w:rsid w:val="5DCA4F48"/>
    <w:rsid w:val="5DEC200B"/>
    <w:rsid w:val="5F00089C"/>
    <w:rsid w:val="60C400AE"/>
    <w:rsid w:val="60C74A21"/>
    <w:rsid w:val="623600B0"/>
    <w:rsid w:val="62C531E2"/>
    <w:rsid w:val="62DD3E94"/>
    <w:rsid w:val="631468FE"/>
    <w:rsid w:val="63B91ABB"/>
    <w:rsid w:val="63E50CEC"/>
    <w:rsid w:val="655E16AA"/>
    <w:rsid w:val="66E1374B"/>
    <w:rsid w:val="670D0E9E"/>
    <w:rsid w:val="67204E8B"/>
    <w:rsid w:val="67683AD1"/>
    <w:rsid w:val="679145C7"/>
    <w:rsid w:val="68140F8B"/>
    <w:rsid w:val="69362744"/>
    <w:rsid w:val="698A2A90"/>
    <w:rsid w:val="69967687"/>
    <w:rsid w:val="69DC778F"/>
    <w:rsid w:val="6ADE22CF"/>
    <w:rsid w:val="6AF75D72"/>
    <w:rsid w:val="6C1442C8"/>
    <w:rsid w:val="6C74669B"/>
    <w:rsid w:val="6E1761E8"/>
    <w:rsid w:val="6E3F016F"/>
    <w:rsid w:val="6F2B2799"/>
    <w:rsid w:val="6F6D49E6"/>
    <w:rsid w:val="6F8B7A92"/>
    <w:rsid w:val="6FB928EE"/>
    <w:rsid w:val="6FBA46FC"/>
    <w:rsid w:val="7064403B"/>
    <w:rsid w:val="7099263B"/>
    <w:rsid w:val="725D0A92"/>
    <w:rsid w:val="729017F1"/>
    <w:rsid w:val="729C4303"/>
    <w:rsid w:val="73E44A38"/>
    <w:rsid w:val="74545778"/>
    <w:rsid w:val="748F408B"/>
    <w:rsid w:val="74A24D5F"/>
    <w:rsid w:val="75A03D67"/>
    <w:rsid w:val="75B01AD0"/>
    <w:rsid w:val="7640594D"/>
    <w:rsid w:val="766B0D4A"/>
    <w:rsid w:val="769F5250"/>
    <w:rsid w:val="76CC7E69"/>
    <w:rsid w:val="76DE41F1"/>
    <w:rsid w:val="77DE0FDE"/>
    <w:rsid w:val="7AA74DA3"/>
    <w:rsid w:val="7B7570F3"/>
    <w:rsid w:val="7C9B5288"/>
    <w:rsid w:val="7D0223B1"/>
    <w:rsid w:val="7DE4166B"/>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0"/>
    <w:pPr>
      <w:spacing w:after="160" w:line="259" w:lineRule="auto"/>
      <w:jc w:val="left"/>
      <w:outlineLvl w:val="0"/>
    </w:pPr>
    <w:rPr>
      <w:rFonts w:ascii="宋体" w:hAnsi="宋体" w:eastAsia="宋体" w:cs="Times New Roman"/>
      <w:b/>
      <w:kern w:val="44"/>
      <w:sz w:val="48"/>
      <w:szCs w:val="48"/>
      <w:lang w:val="zh-CN" w:eastAsia="zh-CN"/>
    </w:rPr>
  </w:style>
  <w:style w:type="paragraph" w:styleId="4">
    <w:name w:val="heading 2"/>
    <w:basedOn w:val="1"/>
    <w:next w:val="1"/>
    <w:link w:val="18"/>
    <w:qFormat/>
    <w:uiPriority w:val="0"/>
    <w:pPr>
      <w:keepNext/>
      <w:keepLines/>
      <w:spacing w:before="260" w:after="260" w:line="413" w:lineRule="auto"/>
      <w:outlineLvl w:val="1"/>
    </w:pPr>
    <w:rPr>
      <w:rFonts w:ascii="Arial" w:hAnsi="Arial" w:eastAsia="黑体" w:cs="Times New Roman"/>
      <w:b/>
      <w:sz w:val="32"/>
      <w:szCs w:val="32"/>
    </w:rPr>
  </w:style>
  <w:style w:type="paragraph" w:styleId="5">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6">
    <w:name w:val="index 5"/>
    <w:basedOn w:val="1"/>
    <w:next w:val="1"/>
    <w:qFormat/>
    <w:uiPriority w:val="0"/>
    <w:pPr>
      <w:ind w:left="1680"/>
    </w:pPr>
  </w:style>
  <w:style w:type="paragraph" w:styleId="7">
    <w:name w:val="Body Text"/>
    <w:basedOn w:val="1"/>
    <w:next w:val="8"/>
    <w:link w:val="21"/>
    <w:qFormat/>
    <w:uiPriority w:val="0"/>
    <w:pPr>
      <w:spacing w:after="120"/>
    </w:pPr>
    <w:rPr>
      <w:rFonts w:eastAsia="仿宋_GB2312"/>
      <w:sz w:val="32"/>
      <w:szCs w:val="32"/>
    </w:rPr>
  </w:style>
  <w:style w:type="paragraph" w:styleId="8">
    <w:name w:val="footer"/>
    <w:basedOn w:val="1"/>
    <w:next w:val="6"/>
    <w:link w:val="26"/>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Body Text First Indent"/>
    <w:basedOn w:val="7"/>
    <w:unhideWhenUsed/>
    <w:qFormat/>
    <w:uiPriority w:val="99"/>
    <w:pPr>
      <w:ind w:firstLine="420" w:firstLineChars="100"/>
    </w:pPr>
  </w:style>
  <w:style w:type="paragraph" w:styleId="12">
    <w:name w:val="Body Text First Indent 2"/>
    <w:basedOn w:val="1"/>
    <w:next w:val="1"/>
    <w:unhideWhenUsed/>
    <w:qFormat/>
    <w:uiPriority w:val="0"/>
    <w:pPr>
      <w:ind w:firstLine="420" w:firstLine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NormalCharacter"/>
    <w:semiHidden/>
    <w:qFormat/>
    <w:uiPriority w:val="0"/>
  </w:style>
  <w:style w:type="character" w:customStyle="1" w:styleId="18">
    <w:name w:val="标题 2 Char"/>
    <w:basedOn w:val="15"/>
    <w:link w:val="4"/>
    <w:qFormat/>
    <w:uiPriority w:val="0"/>
    <w:rPr>
      <w:rFonts w:ascii="Arial" w:hAnsi="Arial" w:eastAsia="黑体" w:cs="Times New Roman"/>
      <w:b/>
      <w:sz w:val="32"/>
      <w:szCs w:val="32"/>
    </w:rPr>
  </w:style>
  <w:style w:type="character" w:customStyle="1" w:styleId="19">
    <w:name w:val="Body text|1_"/>
    <w:basedOn w:val="15"/>
    <w:link w:val="20"/>
    <w:qFormat/>
    <w:uiPriority w:val="0"/>
    <w:rPr>
      <w:rFonts w:ascii="宋体" w:hAnsi="宋体" w:cs="宋体"/>
      <w:sz w:val="26"/>
      <w:szCs w:val="26"/>
      <w:lang w:val="zh-TW" w:eastAsia="zh-TW" w:bidi="zh-TW"/>
    </w:rPr>
  </w:style>
  <w:style w:type="paragraph" w:customStyle="1" w:styleId="20">
    <w:name w:val="Body text|1"/>
    <w:basedOn w:val="1"/>
    <w:link w:val="19"/>
    <w:qFormat/>
    <w:uiPriority w:val="0"/>
    <w:pPr>
      <w:spacing w:line="468" w:lineRule="auto"/>
      <w:ind w:firstLine="400"/>
      <w:jc w:val="left"/>
    </w:pPr>
    <w:rPr>
      <w:rFonts w:ascii="宋体" w:hAnsi="宋体" w:cs="宋体"/>
      <w:sz w:val="26"/>
      <w:szCs w:val="26"/>
      <w:lang w:val="zh-TW" w:eastAsia="zh-TW" w:bidi="zh-TW"/>
    </w:rPr>
  </w:style>
  <w:style w:type="character" w:customStyle="1" w:styleId="21">
    <w:name w:val="正文文本 Char"/>
    <w:basedOn w:val="15"/>
    <w:link w:val="7"/>
    <w:qFormat/>
    <w:uiPriority w:val="0"/>
    <w:rPr>
      <w:rFonts w:eastAsia="仿宋_GB2312"/>
      <w:sz w:val="32"/>
      <w:szCs w:val="32"/>
    </w:rPr>
  </w:style>
  <w:style w:type="character" w:customStyle="1" w:styleId="22">
    <w:name w:val="正文文本 Char1"/>
    <w:basedOn w:val="15"/>
    <w:semiHidden/>
    <w:qFormat/>
    <w:uiPriority w:val="99"/>
  </w:style>
  <w:style w:type="character" w:customStyle="1" w:styleId="23">
    <w:name w:val="标题 3 Char"/>
    <w:basedOn w:val="15"/>
    <w:link w:val="5"/>
    <w:semiHidden/>
    <w:qFormat/>
    <w:uiPriority w:val="9"/>
    <w:rPr>
      <w:b/>
      <w:bCs/>
      <w:sz w:val="32"/>
      <w:szCs w:val="32"/>
    </w:rPr>
  </w:style>
  <w:style w:type="character" w:customStyle="1" w:styleId="24">
    <w:name w:val="标题 1 Char"/>
    <w:basedOn w:val="15"/>
    <w:link w:val="3"/>
    <w:qFormat/>
    <w:uiPriority w:val="0"/>
    <w:rPr>
      <w:rFonts w:ascii="宋体" w:hAnsi="宋体" w:eastAsia="宋体" w:cs="Times New Roman"/>
      <w:b/>
      <w:kern w:val="44"/>
      <w:sz w:val="48"/>
      <w:szCs w:val="48"/>
      <w:lang w:val="zh-CN" w:eastAsia="zh-CN"/>
    </w:rPr>
  </w:style>
  <w:style w:type="character" w:customStyle="1" w:styleId="25">
    <w:name w:val="页眉 Char"/>
    <w:basedOn w:val="15"/>
    <w:link w:val="9"/>
    <w:qFormat/>
    <w:uiPriority w:val="99"/>
    <w:rPr>
      <w:sz w:val="18"/>
      <w:szCs w:val="18"/>
    </w:rPr>
  </w:style>
  <w:style w:type="character" w:customStyle="1" w:styleId="26">
    <w:name w:val="页脚 Char"/>
    <w:basedOn w:val="15"/>
    <w:link w:val="8"/>
    <w:qFormat/>
    <w:uiPriority w:val="99"/>
    <w:rPr>
      <w:sz w:val="18"/>
      <w:szCs w:val="18"/>
    </w:rPr>
  </w:style>
  <w:style w:type="paragraph" w:customStyle="1" w:styleId="27">
    <w:name w:val="样式1"/>
    <w:basedOn w:val="1"/>
    <w:qFormat/>
    <w:uiPriority w:val="0"/>
    <w:rPr>
      <w:rFonts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51AEA-7265-48E5-B589-EA20DA67D886}">
  <ds:schemaRefs/>
</ds:datastoreItem>
</file>

<file path=docProps/app.xml><?xml version="1.0" encoding="utf-8"?>
<Properties xmlns="http://schemas.openxmlformats.org/officeDocument/2006/extended-properties" xmlns:vt="http://schemas.openxmlformats.org/officeDocument/2006/docPropsVTypes">
  <Template>Normal</Template>
  <Pages>68</Pages>
  <Words>5328</Words>
  <Characters>30375</Characters>
  <Lines>253</Lines>
  <Paragraphs>71</Paragraphs>
  <TotalTime>1</TotalTime>
  <ScaleCrop>false</ScaleCrop>
  <LinksUpToDate>false</LinksUpToDate>
  <CharactersWithSpaces>35632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2021-01-26T02:00:00Z</dcterms:created>
  <dc:creator>zhzhg</dc:creator>
  <cp:lastModifiedBy>Administrator</cp:lastModifiedBy>
  <cp:lastPrinted>2022-02-25T01:39:00Z</cp:lastPrinted>
  <dcterms:modified xsi:type="dcterms:W3CDTF">2022-03-09T03:26:17Z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E959022CAAC24F1B904D8D1FF20852E9</vt:lpwstr>
  </property>
</Properties>
</file>