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560"/>
        <w:textAlignment w:val="auto"/>
        <w:rPr>
          <w:rFonts w:hint="eastAsia" w:ascii="Times New Roman Regular" w:hAnsi="Times New Roman Regular" w:cs="Times New Roman Regular"/>
        </w:rPr>
      </w:pP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560"/>
        <w:textAlignment w:val="auto"/>
        <w:rPr>
          <w:rFonts w:hint="default" w:ascii="Times New Roman Regular" w:hAnsi="Times New Roman Regular" w:cs="Times New Roman Regul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4"/>
          <w:szCs w:val="44"/>
        </w:rPr>
      </w:pPr>
      <w:r>
        <w:rPr>
          <w:rFonts w:hint="eastAsia" w:ascii="Times New Roman Regular" w:hAnsi="Times New Roman Regular" w:eastAsia="方正小标宋_GBK" w:cs="Times New Roman Regular"/>
          <w:sz w:val="44"/>
          <w:szCs w:val="44"/>
          <w:lang w:val="en-US" w:eastAsia="zh-CN"/>
        </w:rPr>
        <w:t>汕尾市城区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数字政府改革建设“十四五”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规划实施中期评估报告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 Regular" w:hAnsi="Times New Roman Regular" w:eastAsia="文星楷体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文星楷体" w:cs="Times New Roman Regular"/>
          <w:sz w:val="32"/>
          <w:szCs w:val="32"/>
          <w:lang w:val="en-US" w:eastAsia="zh-CN"/>
        </w:rPr>
        <w:t>（</w:t>
      </w:r>
      <w:bookmarkStart w:id="82" w:name="_GoBack"/>
      <w:bookmarkEnd w:id="82"/>
      <w:r>
        <w:rPr>
          <w:rFonts w:hint="default" w:ascii="Times New Roman Regular" w:hAnsi="Times New Roman Regular" w:eastAsia="文星楷体" w:cs="Times New Roman Regular"/>
          <w:sz w:val="32"/>
          <w:szCs w:val="32"/>
          <w:lang w:val="en-US" w:eastAsia="zh-CN"/>
        </w:rPr>
        <w:t>征求意见稿）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 Regular" w:hAnsi="Times New Roman Regular" w:eastAsia="FangSong_GB2312" w:cs="Times New Roman Regular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 Regular" w:hAnsi="Times New Roman Regular" w:eastAsia="楷体" w:cs="Times New Roman Regular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 Regular" w:hAnsi="Times New Roman Regular" w:eastAsia="楷体" w:cs="Times New Roman Regular"/>
          <w:sz w:val="32"/>
          <w:szCs w:val="32"/>
          <w:lang w:val="en-US" w:eastAsia="zh-Hans"/>
        </w:rPr>
      </w:pPr>
      <w:r>
        <w:rPr>
          <w:rFonts w:hint="eastAsia" w:ascii="Times New Roman Regular" w:hAnsi="Times New Roman Regular" w:eastAsia="楷体" w:cs="Times New Roman Regular"/>
          <w:sz w:val="32"/>
          <w:szCs w:val="32"/>
          <w:lang w:val="en-US" w:eastAsia="zh-CN"/>
        </w:rPr>
        <w:t>汕尾市城区政务服务数据</w:t>
      </w:r>
      <w:r>
        <w:rPr>
          <w:rFonts w:hint="default" w:ascii="Times New Roman Regular" w:hAnsi="Times New Roman Regular" w:eastAsia="楷体" w:cs="Times New Roman Regular"/>
          <w:sz w:val="32"/>
          <w:szCs w:val="32"/>
          <w:lang w:val="en-US" w:eastAsia="zh-Hans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 Regular" w:hAnsi="Times New Roman Regular" w:eastAsia="楷体" w:cs="Times New Roman Regular"/>
          <w:sz w:val="32"/>
          <w:szCs w:val="32"/>
        </w:rPr>
      </w:pPr>
      <w:r>
        <w:rPr>
          <w:rFonts w:hint="default" w:ascii="Times New Roman" w:hAnsi="Times New Roman" w:eastAsia="楷体" w:cs="Times New Roman Regular"/>
          <w:sz w:val="32"/>
          <w:szCs w:val="32"/>
        </w:rPr>
        <w:t>202</w:t>
      </w:r>
      <w:r>
        <w:rPr>
          <w:rFonts w:hint="eastAsia" w:eastAsia="楷体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楷体" w:cs="Times New Roman Regular"/>
          <w:sz w:val="32"/>
          <w:szCs w:val="32"/>
        </w:rPr>
        <w:t>年</w:t>
      </w:r>
      <w:r>
        <w:rPr>
          <w:rFonts w:hint="eastAsia" w:ascii="Times New Roman" w:hAnsi="Times New Roman" w:eastAsia="楷体" w:cs="Times New Roman Regular"/>
          <w:sz w:val="32"/>
          <w:szCs w:val="32"/>
          <w:lang w:val="en-US" w:eastAsia="zh-CN"/>
        </w:rPr>
        <w:t>1</w:t>
      </w:r>
      <w:r>
        <w:rPr>
          <w:rFonts w:hint="default" w:ascii="Times New Roman Regular" w:hAnsi="Times New Roman Regular" w:eastAsia="楷体" w:cs="Times New Roman Regular"/>
          <w:sz w:val="32"/>
          <w:szCs w:val="32"/>
        </w:rPr>
        <w:t>月</w:t>
      </w:r>
    </w:p>
    <w:p>
      <w:pPr>
        <w:pStyle w:val="2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 Regular" w:hAnsi="Times New Roman Regular" w:eastAsia="方正小标宋_GBK" w:cs="Times New Roman Regular"/>
          <w:sz w:val="48"/>
          <w:szCs w:val="48"/>
        </w:rPr>
      </w:pPr>
    </w:p>
    <w:p>
      <w:pPr>
        <w:rPr>
          <w:rFonts w:hint="default" w:ascii="Times New Roman Regular" w:hAnsi="Times New Roman Regular" w:cs="Times New Roman Regular"/>
        </w:rPr>
      </w:pPr>
    </w:p>
    <w:p>
      <w:pPr>
        <w:pStyle w:val="14"/>
        <w:rPr>
          <w:rFonts w:hint="default" w:ascii="Times New Roman Regular" w:hAnsi="Times New Roman Regular" w:cs="Times New Roman Regular"/>
        </w:rPr>
      </w:pPr>
    </w:p>
    <w:p>
      <w:pPr>
        <w:pStyle w:val="23"/>
        <w:rPr>
          <w:rFonts w:hint="default" w:ascii="Times New Roman Regular" w:hAnsi="Times New Roman Regular" w:cs="Times New Roman Regular"/>
        </w:rPr>
      </w:pPr>
    </w:p>
    <w:p>
      <w:pPr>
        <w:pStyle w:val="23"/>
        <w:rPr>
          <w:rFonts w:hint="default" w:ascii="Times New Roman Regular" w:hAnsi="Times New Roman Regular" w:cs="Times New Roman Regul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id w:val="95386683"/>
        <w15:color w:val="DBDBDB"/>
      </w:sdtPr>
      <w:sdtEndPr>
        <w:rPr>
          <w:rFonts w:hint="default" w:ascii="Times New Roman Regular" w:hAnsi="Times New Roman Regular" w:eastAsia="FangSong_GB2312" w:cs="Times New Roman Regular"/>
          <w:kern w:val="2"/>
          <w:sz w:val="32"/>
          <w:szCs w:val="2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黑体" w:hAnsi="黑体" w:eastAsia="黑体" w:cs="黑体"/>
              <w:sz w:val="28"/>
              <w:szCs w:val="28"/>
            </w:rPr>
          </w:pPr>
          <w:r>
            <w:rPr>
              <w:rFonts w:hint="eastAsia" w:ascii="黑体" w:hAnsi="黑体" w:eastAsia="黑体" w:cs="黑体"/>
              <w:sz w:val="28"/>
              <w:szCs w:val="28"/>
            </w:rPr>
            <w:t>目</w:t>
          </w:r>
          <w:r>
            <w:rPr>
              <w:rFonts w:hint="default" w:ascii="黑体" w:hAnsi="黑体" w:eastAsia="黑体" w:cs="黑体"/>
              <w:sz w:val="28"/>
              <w:szCs w:val="28"/>
            </w:rPr>
            <w:t xml:space="preserve"> </w:t>
          </w:r>
          <w:r>
            <w:rPr>
              <w:rFonts w:hint="eastAsia" w:ascii="黑体" w:hAnsi="黑体" w:eastAsia="黑体" w:cs="黑体"/>
              <w:sz w:val="28"/>
              <w:szCs w:val="28"/>
            </w:rPr>
            <w:t>录</w:t>
          </w:r>
        </w:p>
        <w:p>
          <w:pPr>
            <w:pStyle w:val="21"/>
            <w:tabs>
              <w:tab w:val="right" w:leader="dot" w:pos="8306"/>
            </w:tabs>
            <w:ind w:firstLine="0" w:firstLine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TOC \o "1-3" \h \u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_Toc2441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eastAsia="黑体" w:cs="黑体"/>
              <w:bCs/>
              <w:i w:val="0"/>
              <w:sz w:val="28"/>
              <w:szCs w:val="28"/>
            </w:rPr>
            <w:t xml:space="preserve">一、 </w:t>
          </w:r>
          <w:r>
            <w:rPr>
              <w:rFonts w:hint="eastAsia" w:ascii="黑体" w:hAnsi="黑体" w:eastAsia="黑体" w:cs="黑体"/>
              <w:bCs/>
              <w:sz w:val="28"/>
              <w:szCs w:val="28"/>
            </w:rPr>
            <w:t>评估目的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ind w:firstLine="0" w:firstLine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_Toc17712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eastAsia="黑体" w:cs="黑体"/>
              <w:bCs/>
              <w:i w:val="0"/>
              <w:sz w:val="28"/>
              <w:szCs w:val="28"/>
            </w:rPr>
            <w:t xml:space="preserve">二、 </w:t>
          </w:r>
          <w:r>
            <w:rPr>
              <w:rFonts w:hint="default" w:ascii="黑体" w:hAnsi="黑体" w:eastAsia="黑体" w:cs="黑体"/>
              <w:bCs/>
              <w:sz w:val="28"/>
              <w:szCs w:val="28"/>
            </w:rPr>
            <w:t>评估说明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_Toc17712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_Toc23622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/>
            </w:rPr>
            <w:t xml:space="preserve">（一） 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评估原则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_Toc23622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_Toc6742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/>
            </w:rPr>
            <w:t xml:space="preserve">（二） 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eastAsia="zh-Hans"/>
            </w:rPr>
            <w:t>评估对象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_Toc6742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_Toc29149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 w:eastAsia="zh-Hans"/>
            </w:rPr>
            <w:t xml:space="preserve">（三） 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eastAsia="zh-Hans"/>
            </w:rPr>
            <w:t>评估方法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_Toc29149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_Toc8979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 w:eastAsia="zh-Hans"/>
            </w:rPr>
            <w:t xml:space="preserve">（四） </w:t>
          </w:r>
          <w:r>
            <w:rPr>
              <w:rFonts w:hint="default" w:ascii="楷体_GB2312" w:hAnsi="楷体_GB2312" w:eastAsia="楷体_GB2312" w:cs="楷体_GB2312"/>
              <w:sz w:val="28"/>
              <w:szCs w:val="28"/>
              <w:lang w:eastAsia="zh-Hans"/>
            </w:rPr>
            <w:t>评估过程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_Toc8979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ind w:firstLine="0" w:firstLine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_Toc24892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eastAsia="黑体" w:cs="黑体"/>
              <w:bCs/>
              <w:i w:val="0"/>
              <w:sz w:val="28"/>
              <w:szCs w:val="28"/>
            </w:rPr>
            <w:t xml:space="preserve">三、 </w:t>
          </w:r>
          <w:r>
            <w:rPr>
              <w:rFonts w:hint="eastAsia" w:ascii="黑体" w:hAnsi="黑体" w:eastAsia="黑体" w:cs="黑体"/>
              <w:bCs/>
              <w:sz w:val="28"/>
              <w:szCs w:val="28"/>
              <w:lang w:val="en-US" w:eastAsia="zh-Hans"/>
            </w:rPr>
            <w:t>规划总体实施进展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_Toc24892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_Toc1490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（一） 秉持“店小二”式服务意识，推动政务服务新提升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_Toc1490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_Toc15756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（二） 聚焦“一网统管”治理模式，激发基层治理新动能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_Toc15756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_Toc7639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（三） 助力优势产业协调发展，增强经济发展新动力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_Toc7639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12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_Toc16063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（四） 强化政府内部协同办公，释放行政协同新效能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_Toc16063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_Toc20000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Cs/>
              <w:sz w:val="28"/>
              <w:szCs w:val="28"/>
            </w:rPr>
            <w:t>（五） 助推基础设施集约升级，厚植基础支撑新潜能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_Toc20000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_Toc25437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（六） 全力推动体制机制改革，凝聚体制创新新合力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_Toc25437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16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ind w:firstLine="0" w:firstLine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_Toc19574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eastAsia="黑体" w:cs="黑体"/>
              <w:bCs/>
              <w:i w:val="0"/>
              <w:sz w:val="28"/>
              <w:szCs w:val="28"/>
              <w:lang w:val="en-US" w:eastAsia="zh-Hans"/>
            </w:rPr>
            <w:t xml:space="preserve">四、 </w:t>
          </w:r>
          <w:r>
            <w:rPr>
              <w:rFonts w:hint="eastAsia" w:ascii="黑体" w:hAnsi="黑体" w:eastAsia="黑体" w:cs="黑体"/>
              <w:bCs/>
              <w:sz w:val="28"/>
              <w:szCs w:val="28"/>
              <w:lang w:val="en-US" w:eastAsia="zh-Hans"/>
            </w:rPr>
            <w:t>规划实施面临的主要问题和风险挑战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_Toc19574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_Toc32235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/>
            </w:rPr>
            <w:t xml:space="preserve">（一） 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外部环境变化情况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_Toc32235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17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_Toc11710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/>
            </w:rPr>
            <w:t xml:space="preserve">（二） 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完成本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  <w:lang w:val="en-US" w:eastAsia="zh-CN"/>
            </w:rPr>
            <w:t>单位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承担任务面临的主要问题和挑战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_Toc11710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18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1"/>
            <w:tabs>
              <w:tab w:val="right" w:leader="dot" w:pos="8306"/>
            </w:tabs>
            <w:ind w:firstLine="0" w:firstLine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_Toc29284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Times New Roman" w:hAnsi="Times New Roman" w:eastAsia="黑体" w:cs="黑体"/>
              <w:bCs/>
              <w:i w:val="0"/>
              <w:sz w:val="28"/>
              <w:szCs w:val="28"/>
              <w:lang w:val="en-US" w:eastAsia="zh-Hans"/>
            </w:rPr>
            <w:t xml:space="preserve">五、 </w:t>
          </w:r>
          <w:r>
            <w:rPr>
              <w:rFonts w:hint="eastAsia" w:ascii="黑体" w:hAnsi="黑体" w:eastAsia="黑体" w:cs="黑体"/>
              <w:bCs/>
              <w:sz w:val="28"/>
              <w:szCs w:val="28"/>
              <w:lang w:val="en-US" w:eastAsia="zh-Hans"/>
            </w:rPr>
            <w:t>进一步推进规划实施的对策建议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_Toc29284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_Toc1540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/>
            </w:rPr>
            <w:t xml:space="preserve">（一） 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下一步工作考虑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_Toc1540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2"/>
            <w:tabs>
              <w:tab w:val="right" w:leader="dot" w:pos="8306"/>
              <w:tab w:val="clear" w:pos="8296"/>
            </w:tabs>
            <w:ind w:left="0" w:leftChars="0"/>
            <w:rPr>
              <w:sz w:val="28"/>
              <w:szCs w:val="28"/>
            </w:r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begin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instrText xml:space="preserve"> HYPERLINK \l _Toc19610 </w:instrText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i w:val="0"/>
              <w:sz w:val="28"/>
              <w:szCs w:val="28"/>
              <w:lang w:val="en-US"/>
            </w:rPr>
            <w:t xml:space="preserve">（二） </w:t>
          </w:r>
          <w:r>
            <w:rPr>
              <w:rFonts w:hint="eastAsia" w:ascii="楷体_GB2312" w:hAnsi="楷体_GB2312" w:eastAsia="楷体_GB2312" w:cs="楷体_GB2312"/>
              <w:sz w:val="28"/>
              <w:szCs w:val="28"/>
            </w:rPr>
            <w:t>对策建议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_Toc19610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25</w:t>
          </w:r>
          <w:r>
            <w:rPr>
              <w:sz w:val="28"/>
              <w:szCs w:val="28"/>
            </w:rPr>
            <w:fldChar w:fldCharType="end"/>
          </w: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  <w:p>
          <w:pPr>
            <w:pStyle w:val="23"/>
            <w:ind w:firstLine="0" w:firstLineChars="0"/>
            <w:rPr>
              <w:rFonts w:hint="default" w:ascii="Times New Roman Regular" w:hAnsi="Times New Roman Regular" w:cs="Times New Roman Regular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fmt="upperRoman" w:start="1"/>
              <w:cols w:space="425" w:num="1"/>
              <w:docGrid w:type="lines" w:linePitch="312" w:charSpace="0"/>
            </w:sectPr>
          </w:pPr>
          <w:r>
            <w:rPr>
              <w:rFonts w:hint="eastAsia" w:ascii="仿宋_GB2312" w:hAnsi="仿宋_GB2312" w:eastAsia="仿宋_GB2312" w:cs="仿宋_GB2312"/>
              <w:sz w:val="28"/>
              <w:szCs w:val="28"/>
            </w:rPr>
            <w:fldChar w:fldCharType="end"/>
          </w:r>
        </w:p>
      </w:sdtContent>
    </w:sdt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</w:rPr>
      </w:pPr>
      <w:bookmarkStart w:id="0" w:name="_Toc13660"/>
      <w:bookmarkStart w:id="1" w:name="_Toc8869"/>
      <w:bookmarkStart w:id="2" w:name="_Toc2441"/>
      <w:bookmarkStart w:id="3" w:name="_Toc1175077991"/>
      <w:r>
        <w:rPr>
          <w:rFonts w:hint="eastAsia" w:ascii="黑体" w:hAnsi="黑体" w:eastAsia="黑体" w:cs="黑体"/>
          <w:b w:val="0"/>
          <w:bCs/>
        </w:rPr>
        <w:t>评估目的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的十八大以来，习近平总书记站在人类历史发展、党和国家事业发展全局的高度，从信息化发展大势和国际国内大局出发，擘画了建设网络强国的宏伟蓝图。近年来，汕尾市审时度势、精心谋划、超前布局，以数字政府省市联建为重要抓手，掀起了一场数字化的改革浪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通过狠抓政务服务、营商环境、基层治理等重点领域建设，数字政府改革建设位列粤东西北区域第一梯队，成功探索出了一条欠发达地市数字化赋能高质量发展的道路。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站在时代新风口，汕尾市委八届四次全会做出高层次实施“四数联动”示范工程战略部署，推动数字政府、数字城市、数字社会、数字经济一体化发展，以数字政府建设引领经济社会高质量发展。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8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按照省、市数字政府改革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统一部署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立足县域实际，抢抓发展机遇，借助数字政府改革建设的东风，深化政府职能数字化转型，推进政府治理体系和治理能力现代化。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汕尾市数字政府改革建设“十四五”规划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实施中期评估工作方案的通知》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，落实好《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汕尾市城区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数字政府改革建设“十四五”规划》中期评估工作，深入分析规划实施存在的主要问题及风险挑战，提出“十四五”中后期《规划》实施的对策建议。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/>
        </w:rPr>
      </w:pPr>
      <w:bookmarkStart w:id="4" w:name="_Toc427844489"/>
      <w:bookmarkStart w:id="5" w:name="_Toc1276176925"/>
      <w:bookmarkStart w:id="6" w:name="_Toc2569"/>
      <w:bookmarkStart w:id="7" w:name="_Toc30064"/>
      <w:bookmarkStart w:id="8" w:name="_Toc7777"/>
      <w:bookmarkStart w:id="9" w:name="_Toc17712"/>
      <w:r>
        <w:rPr>
          <w:rFonts w:hint="default" w:ascii="黑体" w:hAnsi="黑体" w:eastAsia="黑体" w:cs="黑体"/>
          <w:b w:val="0"/>
          <w:bCs/>
        </w:rPr>
        <w:t>评估说明</w:t>
      </w:r>
      <w:bookmarkEnd w:id="4"/>
      <w:bookmarkEnd w:id="5"/>
      <w:bookmarkEnd w:id="6"/>
      <w:bookmarkEnd w:id="7"/>
      <w:bookmarkEnd w:id="8"/>
      <w:bookmarkEnd w:id="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</w:rPr>
      </w:pPr>
      <w:bookmarkStart w:id="10" w:name="_Toc29134"/>
      <w:bookmarkStart w:id="11" w:name="_Toc1007076467"/>
      <w:bookmarkStart w:id="12" w:name="_Toc15879"/>
      <w:bookmarkStart w:id="13" w:name="_Toc1786395886"/>
      <w:bookmarkStart w:id="14" w:name="_Toc26410"/>
      <w:bookmarkStart w:id="15" w:name="_Toc23622"/>
      <w:bookmarkStart w:id="16" w:name="_Toc29364"/>
      <w:r>
        <w:rPr>
          <w:rFonts w:hint="eastAsia" w:ascii="楷体_GB2312" w:hAnsi="楷体_GB2312" w:eastAsia="楷体_GB2312" w:cs="楷体_GB2312"/>
        </w:rPr>
        <w:t>评估原则</w:t>
      </w:r>
      <w:bookmarkEnd w:id="10"/>
      <w:bookmarkEnd w:id="11"/>
      <w:bookmarkEnd w:id="12"/>
      <w:bookmarkEnd w:id="13"/>
      <w:bookmarkEnd w:id="14"/>
      <w:bookmarkEnd w:id="15"/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系统全面。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全面评估规划目标任务推进情况，着眼推进中国式现代化，统筹把握好全局和局部、当前和长远、宏观和微观、主要矛盾和次要矛盾、特殊和一般的关系，以更高的站位、更宽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宽的</w:t>
      </w:r>
      <w:r>
        <w:rPr>
          <w:rFonts w:hint="eastAsia" w:ascii="仿宋_GB2312" w:hAnsi="仿宋_GB2312" w:eastAsia="仿宋_GB2312" w:cs="仿宋_GB2312"/>
          <w:sz w:val="32"/>
          <w:szCs w:val="32"/>
        </w:rPr>
        <w:t>角开展评估工作。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突出重点。</w:t>
      </w:r>
      <w:r>
        <w:rPr>
          <w:rFonts w:hint="eastAsia" w:ascii="仿宋_GB2312" w:hAnsi="仿宋_GB2312" w:eastAsia="仿宋_GB2312" w:cs="仿宋_GB2312"/>
          <w:sz w:val="32"/>
          <w:szCs w:val="32"/>
        </w:rPr>
        <w:t>聚焦主要目标指标实现情况，重大任务、重点项目推进情况，特别是数字政府改革建设中落实新发展理念、转变发展方式、推动高质量发展的进展情况。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远近结合。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立足当前、着眼长远，既要聚焦“十四五”时期数字政府建设主要目标，又要兼顾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年远景目标，推动实现发展质量、结构、规模、速度、效益、安全相统一。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科学严谨。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密切关注国内外发展环境变化，准确把握时代性和规律性，更新评估理念，创新评估方式方法，完善评估工具体系，提升评估的专业性、科学性和严肃性。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实事求是。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深化上下联动、横向互动和多方参与，准确把握评估标准和发展态势，客观公正反映情况，不回避矛盾和问题，精准找出落实规划的难点堵点，并明确克服解决的意见举措。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</w:rPr>
      </w:pPr>
      <w:bookmarkStart w:id="17" w:name="_Toc6742"/>
      <w:bookmarkStart w:id="18" w:name="_Toc1615558862"/>
      <w:bookmarkStart w:id="19" w:name="_Toc7139"/>
      <w:bookmarkStart w:id="20" w:name="_Toc18543"/>
      <w:bookmarkStart w:id="21" w:name="_Toc2134270942"/>
      <w:r>
        <w:rPr>
          <w:rFonts w:hint="default" w:ascii="楷体_GB2312" w:hAnsi="楷体_GB2312" w:eastAsia="楷体_GB2312" w:cs="楷体_GB2312"/>
          <w:lang w:eastAsia="zh-Hans"/>
        </w:rPr>
        <w:t>评估对象</w:t>
      </w:r>
      <w:bookmarkEnd w:id="17"/>
      <w:bookmarkEnd w:id="18"/>
      <w:bookmarkEnd w:id="19"/>
      <w:bookmarkEnd w:id="20"/>
      <w:bookmarkEnd w:id="21"/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数字政府改革建设“十四五”规划》（以下简称《规划》）</w:t>
      </w:r>
      <w:r>
        <w:rPr>
          <w:rStyle w:val="31"/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lang w:eastAsia="zh-Hans"/>
        </w:rPr>
      </w:pPr>
      <w:bookmarkStart w:id="22" w:name="_Toc1272366353"/>
      <w:bookmarkStart w:id="23" w:name="_Toc29149"/>
      <w:bookmarkStart w:id="24" w:name="_Toc2062044613"/>
      <w:bookmarkStart w:id="25" w:name="_Toc16576"/>
      <w:bookmarkStart w:id="26" w:name="_Toc1993"/>
      <w:r>
        <w:rPr>
          <w:rFonts w:hint="default" w:ascii="楷体_GB2312" w:hAnsi="楷体_GB2312" w:eastAsia="楷体_GB2312" w:cs="楷体_GB2312"/>
          <w:lang w:eastAsia="zh-Hans"/>
        </w:rPr>
        <w:t>评估方法</w:t>
      </w:r>
      <w:bookmarkEnd w:id="16"/>
      <w:bookmarkEnd w:id="22"/>
      <w:bookmarkEnd w:id="23"/>
      <w:bookmarkEnd w:id="24"/>
      <w:bookmarkEnd w:id="25"/>
      <w:bookmarkEnd w:id="26"/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为全面掌握规划实施中期进展情况，深入了解规划实施的成效和问题，多层次、多维度开展评估，在评估方法、评估流程、评估标准等方面加大创新力度。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定量分析和定性分析相结合。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从客观反映数字政府改革建设情况出发，采用定量和定性相结合的分析方法，通过系统统计、信息报送等方式，对规划的主要指标、主要任务、重点项目的实施情况进行多维度综合评估。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目标导向和问题导向相结合。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规划确定的目标任务倒推，运用系统分析、计量模型等方法，逐项对照进度要求，发现问题，提出确保目标实现对策建议。同时，从迫切需要解决的各领域各环节问题顺推，明确破解难题路径和办法，防范化解风险隐患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过程评估和效果评估相结合。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综合运用资料梳理、调研访谈等方式，围绕规划的目标指标、主要任务以及重点项目，对开展的主要工作、采取的具体措施及落实情况进行评估；加强对规划实施所取得的实际成效以及中长期发展影响等的评估。</w:t>
      </w:r>
    </w:p>
    <w:p>
      <w:pPr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标准化与个性化相结合。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既对各项工作进展成效、质量效益、经验做法、存在问题、发展态势进行规范化、格式化评估；又结合不同领域实际情况，采取个性化评估方法，避免简单套用同一种程序、机械使用同一个标准。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leftChars="0" w:firstLine="640" w:firstLineChars="200"/>
        <w:textAlignment w:val="auto"/>
        <w:rPr>
          <w:rFonts w:hint="default" w:ascii="楷体_GB2312" w:hAnsi="楷体_GB2312" w:eastAsia="楷体_GB2312" w:cs="楷体_GB2312"/>
          <w:lang w:eastAsia="zh-Hans"/>
        </w:rPr>
      </w:pPr>
      <w:bookmarkStart w:id="27" w:name="_Toc28309"/>
      <w:bookmarkStart w:id="28" w:name="_Toc692715405"/>
      <w:bookmarkStart w:id="29" w:name="_Toc12583"/>
      <w:bookmarkStart w:id="30" w:name="_Toc8979"/>
      <w:bookmarkStart w:id="31" w:name="_Toc19138045"/>
      <w:r>
        <w:rPr>
          <w:rFonts w:hint="default" w:ascii="楷体_GB2312" w:hAnsi="楷体_GB2312" w:eastAsia="楷体_GB2312" w:cs="楷体_GB2312"/>
          <w:lang w:eastAsia="zh-Hans"/>
        </w:rPr>
        <w:t>评估过程</w:t>
      </w:r>
      <w:bookmarkEnd w:id="27"/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研究制定规划实施中期评估工作方案，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Hans"/>
        </w:rPr>
        <w:t>202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年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月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日印发《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汕尾市城区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数字政府改革建设“十四五”规划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实施中期评估工作方案的通知》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有关单位围绕各重点专题领域进行评估，对负责目标指标、主要任务等落实情况及成效进展进行全面评估，形成中期评估材料；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Hans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对区直重点单位开展座谈调研，收集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汇总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有关单位、各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（街道）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（办事处）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中期评估材料，并进行分析；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Hans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评估规划实施情况及对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汕尾市城区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“十四五”规划相关领域目标任务的支撑情况，形成《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汕尾市城区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数字政府改革建设“十四五”规划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中期评估报告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</w:rPr>
      </w:pPr>
      <w:bookmarkStart w:id="32" w:name="_Toc24892"/>
      <w:bookmarkStart w:id="33" w:name="_Toc16356"/>
      <w:bookmarkStart w:id="34" w:name="_Toc13331"/>
      <w:r>
        <w:rPr>
          <w:rFonts w:hint="eastAsia" w:ascii="黑体" w:hAnsi="黑体" w:eastAsia="黑体" w:cs="黑体"/>
          <w:b w:val="0"/>
          <w:bCs/>
          <w:lang w:val="en-US" w:eastAsia="zh-Hans"/>
        </w:rPr>
        <w:t>规划总体实施进展</w:t>
      </w:r>
      <w:bookmarkEnd w:id="32"/>
      <w:bookmarkEnd w:id="33"/>
      <w:bookmarkEnd w:id="34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bookmarkStart w:id="35" w:name="_Toc27476"/>
      <w:bookmarkStart w:id="36" w:name="_Toc20059"/>
      <w:bookmarkStart w:id="37" w:name="_Toc1490"/>
      <w:r>
        <w:rPr>
          <w:rFonts w:hint="eastAsia" w:ascii="楷体_GB2312" w:hAnsi="楷体_GB2312" w:eastAsia="楷体_GB2312" w:cs="楷体_GB2312"/>
          <w:sz w:val="32"/>
          <w:szCs w:val="32"/>
        </w:rPr>
        <w:t>秉持“店小二”式服务意识，推动政务服务新提升</w:t>
      </w:r>
      <w:bookmarkEnd w:id="35"/>
      <w:bookmarkEnd w:id="36"/>
      <w:bookmarkEnd w:id="37"/>
    </w:p>
    <w:p>
      <w:pPr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夯实政务服务基础能力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一是深化政务服务事项标准化工作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根据省市第一批证明材料取消清单要求，及时调整办事指南并更新政务服务大厅“一次性告知栏”，确保省市县三级一体、线上线下一致，为办事群众提供更清晰准确的一次性告知清单。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持续深化一件事主题服务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落地实施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“一件事”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拍摄制作区政务服务大厅“一件事，一次办”主题服务宣传视频，在今日城区等新闻媒体上投放宣传，提升群众对“一件事”主题服务的知晓度。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着力推进政务服务“六个通办”</w:t>
      </w:r>
      <w:r>
        <w:rPr>
          <w:rFonts w:hint="eastAsia" w:ascii="Times New Roman" w:eastAsia="宋体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持续完善“受审分离”模式。进一步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推行“三集中三到位”改革，印发《关于严格落实三集中三到位的函》，推动区有关单位严格落实首席代表制度，提高行政审批效率。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推进指尖应用全区推广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加大“粤省事”“粤商通”等应用的推广，让企业和群众享受到更多“指尖办”服务，截至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日，全区“粤省事”实名注册用户数约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29.90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万人；“粤商通”累计企业注册数为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48357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五是着力提升镇街政务服务综合能力。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加快推进“四统一”配套硬件采购，做好乡村振兴驻镇帮镇扶村项目入库工作，并以红草镇政务服务大厅为试点，完成政务服务大厅“四统一”改造工作；同时，安装部署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部“粤智助”政府服务自助机，实现镇（街道）、行政村全覆盖。截至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2023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日，我区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部自助机累计办结业务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45122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笔，台均业务量为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663</w:t>
      </w:r>
      <w:r>
        <w:rPr>
          <w:rFonts w:hint="eastAsia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笔，服务群众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22328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六是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持续巩固“无证明城市”创建成果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推动区有关单位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证照存量数据转化为电子证照，提升电子证照开通率，加大企业群众使用电子证照引导力度，实现办事人免带免交纸质证照材料。截至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日，共签发电子证照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1333610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张，开通区级电子证照目录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种，完成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1179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项政务服务事项用证启用，累计用证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549763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大力推广政务服务好差评。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我区督促指导镇（街道）政务服务大厅引导群众办事后主动评价，提高群众办事主动评价率，并健全完善沟通反馈机制，及时落实政务服务差评价整改工作。截至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日，累计收到政务服务评价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80952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笔，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月份我区政务服务质量平均分为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分。</w:t>
      </w:r>
    </w:p>
    <w:p>
      <w:pPr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打造便利高效涉企服务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一是持续深化商事制度改革。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根据汕尾市优化营商环境工作部署，</w:t>
      </w:r>
      <w:r>
        <w:rPr>
          <w:rFonts w:ascii="仿宋" w:hAnsi="仿宋" w:eastAsia="仿宋" w:cs="仿宋"/>
          <w:b w:val="0"/>
          <w:bCs w:val="0"/>
          <w:spacing w:val="4"/>
          <w:sz w:val="31"/>
          <w:szCs w:val="31"/>
        </w:rPr>
        <w:t>大力推动照后减证，简化审批流程</w:t>
      </w:r>
      <w:r>
        <w:rPr>
          <w:rFonts w:hint="eastAsia" w:ascii="仿宋" w:hAnsi="仿宋" w:eastAsia="仿宋" w:cs="仿宋"/>
          <w:b w:val="0"/>
          <w:bCs w:val="0"/>
          <w:spacing w:val="4"/>
          <w:sz w:val="31"/>
          <w:szCs w:val="3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企业开办压缩至</w:t>
      </w:r>
      <w:r>
        <w:rPr>
          <w:rFonts w:hint="eastAsia" w:ascii="Times New Roman" w:hAnsi="Times New Roman" w:eastAsia="仿宋_GB2312" w:cs="仿宋_GB2312"/>
          <w:color w:val="auto"/>
          <w:sz w:val="32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个工作日，其中营业执照办理只需</w:t>
      </w:r>
      <w:r>
        <w:rPr>
          <w:rFonts w:hint="eastAsia" w:ascii="Times New Roman" w:hAnsi="Times New Roman" w:eastAsia="仿宋_GB2312" w:cs="仿宋_GB2312"/>
          <w:color w:val="auto"/>
          <w:sz w:val="32"/>
          <w:szCs w:val="21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个工作日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4"/>
          <w:sz w:val="32"/>
          <w:szCs w:val="32"/>
          <w:highlight w:val="none"/>
          <w:lang w:val="en-US" w:eastAsia="zh-CN"/>
        </w:rPr>
        <w:t>推行住所（经营场所）申报承诺制，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放宽集群登记条件，截至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，一照多址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户，城区集群登记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6311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户，</w:t>
      </w:r>
      <w:r>
        <w:rPr>
          <w:rFonts w:hint="eastAsia" w:ascii="Times New Roman" w:hAnsi="Times New Roman" w:eastAsia="仿宋_GB2312" w:cs="仿宋_GB2312"/>
          <w:color w:val="auto"/>
          <w:spacing w:val="5"/>
          <w:sz w:val="32"/>
          <w:szCs w:val="32"/>
          <w:lang w:val="en-US" w:eastAsia="zh-CN"/>
        </w:rPr>
        <w:t>24966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经营主体受益。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5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纵深推进工程建设项目审批制度改革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通过推广汕尾市工程建设项目审批管理系统，实现企业投资项目备案时限不超过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个工作日内完成一般企业投资项目落地审批目标（不包括竣工验收时间）。全面推行“互联网+工程审批”，推行联合验收、联合审图、区域评估、告知承诺等制度，精简施工许可证核发材料清单至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承诺办理时限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工程建设项目第一阶段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一个入口、一张表单、一套材料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等并联审批。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深化实施监管事项清单管理制度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扎实推进“互联网+监管”应用。督促各单位进一步梳理、补充、认领、完善监管事项目录，并不定期印发《关于我区互联网+监管工作情况通报》进行书面通报，提高监管事项覆盖率。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截至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2023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30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日，已录入监管行为数据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7193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监管事项总共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361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项，有监管行为事项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266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项。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年监管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事项覆盖率为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73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.</w:t>
      </w:r>
      <w:r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  <w:t>68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加快推进“行政执法”两平台推广应用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自一体化平台上线以来，全区共推广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个单位开通账号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个，其中持证人员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人；累计办理案件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3999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宗，其中行政检查案件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3128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宗，行政处罚案件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865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宗，行政强制案件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宗，办结案件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3461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宗，累计有效文书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12520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份，累计登录量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36950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人次。自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月开始全区一体化平台应用率已达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有效提升融资便利度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充分运用“汕尾市小微企业信用保证基金”等融资渠道，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，我区信保基金累计落地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438</w:t>
      </w:r>
      <w:r>
        <w:rPr>
          <w:rFonts w:hint="eastAsia" w:ascii="仿宋_GB2312" w:hAnsi="仿宋_GB2312" w:eastAsia="仿宋_GB2312" w:cs="仿宋_GB2312"/>
          <w:sz w:val="32"/>
          <w:szCs w:val="32"/>
        </w:rPr>
        <w:t>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51209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“汕尾市支出中小微企业融资专项资金”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累计落地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笔共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31557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在广东省中小融平台汕尾专区新注册企业累计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4871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家，申请融资企业数累计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家，贷款申请金额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16.95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亿元，授信企业数累计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175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家，授信金额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7.498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亿元，成功放款企业数累计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家，放款金额累计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6.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487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/>
          <w:b/>
          <w:bCs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推进公共资源交易电子化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依托省政府采购智慧云平台“项目采购电子交易系统”，实现政府采购全流程电子化，推动政府采购远程异地评标；中介超市持续应用全程无纸化、零跑动交易模式。截至2023年6月30日，共发布中介服务采购项目369宗，已完成选取项目352宗，其中确定服务金额的采购项目成交金额约3078.96万元，服务类型涵盖工程咨询、勘察、设计、造价等方面。</w:t>
      </w:r>
    </w:p>
    <w:p>
      <w:pPr>
        <w:pageBreakBefore w:val="0"/>
        <w:widowControl w:val="0"/>
        <w:numPr>
          <w:ilvl w:val="0"/>
          <w:numId w:val="5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打造智慧多元民生服务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一是创新“智慧教育”新基建。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，我区所有教室已安装配备</w:t>
      </w:r>
      <w:r>
        <w:rPr>
          <w:rFonts w:hint="eastAsia" w:ascii="Times New Roman" w:hAnsi="Times New Roman" w:eastAsia="仿宋_GB2312" w:cs="仿宋_GB2312"/>
          <w:sz w:val="32"/>
          <w:szCs w:val="32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寸多媒体交互式智能一体机，率先在全市实现公办中小学校多媒体电教平台进教室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城镇中小学校网络接入带宽不低于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500M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、其他学校不低于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100M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，全面实现宽带网络“校校通”。不断推进校园数字化管理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安装校园视频监控、一键报警、电子考勤机等数字化设施设备，对教学、教务、考评、财务、师生、生活等常规工作进行科学规范管理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提高教师教育信息化应用能力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先后组织举办了中小学教师信息技术应用能力提升工程</w:t>
      </w:r>
      <w:r>
        <w:rPr>
          <w:rFonts w:hint="eastAsia" w:ascii="Times New Roman" w:hAnsi="Times New Roman" w:eastAsia="仿宋_GB2312" w:cs="仿宋_GB2312"/>
          <w:sz w:val="32"/>
          <w:szCs w:val="32"/>
        </w:rPr>
        <w:t>2.0</w:t>
      </w:r>
      <w:r>
        <w:rPr>
          <w:rFonts w:hint="eastAsia" w:ascii="仿宋_GB2312" w:hAnsi="仿宋_GB2312" w:eastAsia="仿宋_GB2312" w:cs="仿宋_GB2312"/>
          <w:sz w:val="32"/>
          <w:szCs w:val="32"/>
        </w:rPr>
        <w:t>、国家课程数字教材平台等一系列教师全员培训，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推进国家课程数字教材规模化应用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落实数字教材应用“三个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”要求，即师生平台账号开通率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、终端安装覆盖率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、教师数字教材下载率</w:t>
      </w:r>
      <w:r>
        <w:rPr>
          <w:rFonts w:hint="eastAsia" w:ascii="Times New Roman" w:hAnsi="Times New Roman" w:eastAsia="仿宋_GB2312" w:cs="仿宋_GB2312"/>
          <w:sz w:val="32"/>
          <w:szCs w:val="32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二是提高“智慧医疗”软实力。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区卫生健康局医疗电子票据系统于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月底上线使用，进一步完善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城区医疗收费电子票据管理体系，提高医疗收费电子票据流转运用效率和质量，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日，已开具票据</w:t>
      </w:r>
      <w:r>
        <w:rPr>
          <w:rFonts w:hint="eastAsia" w:ascii="Times New Roman" w:hAnsi="Times New Roman" w:eastAsia="仿宋_GB2312" w:cs="仿宋_GB2312"/>
          <w:szCs w:val="32"/>
          <w:highlight w:val="none"/>
        </w:rPr>
        <w:t>49954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份，平均每月开票</w:t>
      </w:r>
      <w:r>
        <w:rPr>
          <w:rFonts w:hint="eastAsia" w:ascii="Times New Roman" w:hAnsi="Times New Roman" w:eastAsia="仿宋_GB2312" w:cs="仿宋_GB2312"/>
          <w:szCs w:val="32"/>
          <w:highlight w:val="none"/>
        </w:rPr>
        <w:t>7136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份；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推动互联网医院建设，推进专科联盟和远程医疗协作网搭建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汕尾逸挥基金医院已完成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互联网医院注册工作，并于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日成功上线，上线以来共接诊</w:t>
      </w:r>
      <w:r>
        <w:rPr>
          <w:rFonts w:hint="eastAsia" w:ascii="Times New Roman" w:hAnsi="Times New Roman" w:eastAsia="仿宋_GB2312" w:cs="仿宋_GB2312"/>
          <w:sz w:val="32"/>
          <w:szCs w:val="32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</w:rPr>
        <w:t>余人次的线上问诊。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打造“智慧文旅”精品牌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城区智慧文旅平台依托地图平台、大数据技术赋能，多维度、全方位展示汕尾城区文旅资源，特别打造城区精品线路“云旅游”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VR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全景图等特色服务，根据高德地图数据显示，保利金町湾旅游度假区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近期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万人导航搜索，景点收藏量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7562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，高德出行评分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分，评分高于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95%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的景点，在汕尾市必游景点榜排名第二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创新“智慧人社”快服务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全面推进社会保障卡“一卡通”应用，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全区通过社会保障卡“一卡通”发放民政领域救助补助资金发放对象共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7644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人（户），救助补助资金已发放到社保卡的有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5836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人（户），发放率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76</w:t>
      </w:r>
      <w:r>
        <w:rPr>
          <w:rFonts w:hint="eastAsia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加强欠薪预警系统建设，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年以来受理各类举报、投诉信访件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2319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宗，在现场与线上投诉案件中共为超过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8000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名劳动者追回被拖欠工资款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11135.91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万元，有效防范和化解各类劳动纠纷；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扎实推进“三项工程”建设，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以来，开展新型学徒制培训人数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144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人次，新增取得职业资格证书或职业技能等级证书人数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1757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人，开展“粤菜师傅”“南粤家政”“农村电商”等补贴性职业技能培训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4776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人次，为我区培养了一批专业能力强，就业前景好的新型就业人员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Hans"/>
        </w:rPr>
        <w:t>实现“智慧社区”广覆盖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用气报装申请材料精简至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份（含）以内，办理环节精简至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个（含）以下，有外线工程从受理用户申请至通气时间压减至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个工作日（不包含外线工程规划及施工许可等行政审批、用户内部工程施工及气密性试验等时长）以内。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打造“善美村居”社区服务板块，全面推进水煤电气、物业等缴费服务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汕尾中燃公司已开通网上缴费业务、推出自助缴费机、设置燃气费用代充点，推出智能物联网表，实现手机充值服务，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为社区民生服务“提质增效”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420"/>
          <w:tab w:val="clear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bookmarkStart w:id="38" w:name="_Toc14751"/>
      <w:bookmarkStart w:id="39" w:name="_Toc15756"/>
      <w:bookmarkStart w:id="40" w:name="_Toc30732"/>
      <w:r>
        <w:rPr>
          <w:rFonts w:hint="eastAsia" w:ascii="楷体_GB2312" w:hAnsi="楷体_GB2312" w:eastAsia="楷体_GB2312" w:cs="楷体_GB2312"/>
          <w:sz w:val="32"/>
          <w:szCs w:val="32"/>
        </w:rPr>
        <w:t>聚焦“一网统管”治理模式，激发基层治理新动能</w:t>
      </w:r>
      <w:bookmarkEnd w:id="38"/>
      <w:bookmarkEnd w:id="39"/>
      <w:bookmarkEnd w:id="40"/>
    </w:p>
    <w:p>
      <w:pPr>
        <w:pageBreakBefore w:val="0"/>
        <w:widowControl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构建“一网统管”的治理模式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一是聚焦重点领域应用创新。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日，结合“民情地图”应用场景深化工作部署，已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个区有关单位和各镇（街道）填报业务数据采集模板和基础数据采集模板共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张，进行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144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类数据的对接采集；多次组织开展业务数据收集培训工作，协调市技术团队到各镇（街道）指导网格员使用网格事件上报和钉钉走访巡查功能，进一步提升“民情地图”数据采集质量。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二是提升多源数据融合能力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积极收集我区数据查看权限需求并报市专班，协调市“民情地图”技术团队为区级联勤指挥中心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位处置人员开通了网格事件处置权限；做好“民情地图”网络的保障工作，完成区和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镇（街道）联勤指挥中心以及晨洲村、新村村外网专线的接入，安排技术人员对接各镇（街道）联勤指挥中心和村（社区）工作站，及时解决各指挥中心“民情地图”政务外网网络故障问题，确保了“民情地图”系统运行流畅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提升多源数据融合能力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打造多元智慧的“智理”格局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着力推进“数字警务”建设。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日开始我区进行了“一标三实”信息采集工作，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日，我区经整理入库的标准地址数据为</w:t>
      </w:r>
      <w:r>
        <w:rPr>
          <w:rFonts w:hint="eastAsia" w:ascii="Times New Roman" w:hAnsi="Times New Roman" w:eastAsia="仿宋_GB2312" w:cs="仿宋_GB2312"/>
          <w:sz w:val="32"/>
          <w:szCs w:val="32"/>
        </w:rPr>
        <w:t>241627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条，其中街路巷</w:t>
      </w:r>
      <w:r>
        <w:rPr>
          <w:rFonts w:hint="eastAsia" w:ascii="Times New Roman" w:hAnsi="Times New Roman" w:eastAsia="仿宋_GB2312" w:cs="仿宋_GB2312"/>
          <w:sz w:val="32"/>
          <w:szCs w:val="32"/>
        </w:rPr>
        <w:t>7399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条，单元房屋</w:t>
      </w:r>
      <w:r>
        <w:rPr>
          <w:rFonts w:hint="eastAsia" w:ascii="Times New Roman" w:hAnsi="Times New Roman" w:eastAsia="仿宋_GB2312" w:cs="仿宋_GB2312"/>
          <w:sz w:val="32"/>
          <w:szCs w:val="32"/>
        </w:rPr>
        <w:t>234228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条；实有房屋</w:t>
      </w:r>
      <w:r>
        <w:rPr>
          <w:rFonts w:hint="eastAsia" w:ascii="Times New Roman" w:hAnsi="Times New Roman" w:eastAsia="仿宋_GB2312" w:cs="仿宋_GB2312"/>
          <w:sz w:val="32"/>
          <w:szCs w:val="32"/>
        </w:rPr>
        <w:t>232806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条，实有人口</w:t>
      </w:r>
      <w:r>
        <w:rPr>
          <w:rFonts w:hint="eastAsia" w:ascii="Times New Roman" w:hAnsi="Times New Roman" w:eastAsia="仿宋_GB2312" w:cs="仿宋_GB2312"/>
          <w:sz w:val="32"/>
          <w:szCs w:val="32"/>
        </w:rPr>
        <w:t>211225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条，实有单位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14821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一标三实作为“民情地图”和“粤居码”系统数据底座，关系到“民情地图”和“粤居码”各专项场景运行质量，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“粤居码”实有房屋任务数为</w:t>
      </w:r>
      <w:r>
        <w:rPr>
          <w:rFonts w:hint="eastAsia" w:ascii="Times New Roman" w:hAnsi="Times New Roman" w:eastAsia="仿宋_GB2312" w:cs="仿宋_GB2312"/>
          <w:szCs w:val="32"/>
        </w:rPr>
        <w:t>424643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套，已申报了</w:t>
      </w:r>
      <w:r>
        <w:rPr>
          <w:rFonts w:hint="eastAsia" w:ascii="Times New Roman" w:hAnsi="Times New Roman" w:eastAsia="仿宋_GB2312" w:cs="仿宋_GB2312"/>
          <w:szCs w:val="32"/>
        </w:rPr>
        <w:t>155048</w:t>
      </w:r>
      <w:r>
        <w:rPr>
          <w:rFonts w:hint="eastAsia" w:ascii="仿宋_GB2312" w:hAnsi="仿宋_GB2312" w:eastAsia="仿宋_GB2312" w:cs="仿宋_GB2312"/>
          <w:sz w:val="32"/>
          <w:szCs w:val="32"/>
        </w:rPr>
        <w:t>套，申报率</w:t>
      </w:r>
      <w:r>
        <w:rPr>
          <w:rFonts w:hint="eastAsia" w:ascii="Times New Roman" w:hAnsi="Times New Roman" w:eastAsia="仿宋_GB2312" w:cs="仿宋_GB2312"/>
          <w:szCs w:val="32"/>
        </w:rPr>
        <w:t>36</w:t>
      </w:r>
      <w:r>
        <w:rPr>
          <w:rFonts w:hint="eastAsia" w:eastAsia="仿宋_GB2312" w:cs="仿宋_GB2312"/>
          <w:szCs w:val="32"/>
        </w:rPr>
        <w:t>.</w:t>
      </w:r>
      <w:r>
        <w:rPr>
          <w:rFonts w:hint="eastAsia" w:ascii="Times New Roman" w:hAnsi="Times New Roman" w:eastAsia="仿宋_GB2312" w:cs="仿宋_GB2312"/>
          <w:szCs w:val="32"/>
        </w:rPr>
        <w:t>51</w:t>
      </w:r>
      <w:r>
        <w:rPr>
          <w:rFonts w:hint="eastAsia" w:ascii="Times New Roman" w:hAnsi="Times New Roman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为保障数据更新质量，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我区“一标三实”数据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持续保持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数据更新维护。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二是稳步提升“智慧应急”水平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应急指挥中心视频会议系统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已实现与电子政务外网、互联网、卫星通信网、无线通信网等互联互通，在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应急“一键通”的加持下，基本实现应急指挥网络省－市－县－镇－村（社区）五级贯通。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通过利用“一网统管”应急指挥系统，开展相关监测预警，为应急救援智能化、扁平化和一体化指挥作战提供信息化辅助决策。通过推进“林火远程监控系统”建设，原有林火监控系统监控点数为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个，现我区林火视频监控点位达到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个，已实现无人机抵近侦查，单兵卫星装备传输实时图像，与现场指挥部信息联动掌握突发事件现场情况，并与区应急指挥中心实现互联互通。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三是逐步完善“智慧消防”体系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建设微型消防站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打造“三分钟消防救援圈”。截至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日，我区消防重点单位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家，均已建立微型消防站；村（社区）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个，建成微型消防站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个，建成率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56.56%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，最大程度缩短灭火救援响应时间和作战半径。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打造智能烟感报警系统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充分运用“大数据+网格化+主动监测+群众路线”运行机制，构建火灾监测与预警平台，推动建立消防物联网智慧监控系统，通过安装物联网光电感烟火灾探测报警器，实现“第一时间发现、第一时间处置”的早期火灾预警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目前全区基本实现“三小”场所、出租屋和群租房全覆盖，全区三小场所类火灾发生率全面下降；截至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日，广东社会消防管理应用平台接入社会单位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1154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家，粤商通商事主体填报数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11535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家。共检查“三小”场所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2957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个，开展电动车巡查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946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四是统筹推进“智慧城管”建设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我区已将红草镇作为试点，以推动汕尾市城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红草镇智慧乡村建设项目的实施。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建设智慧水库水利综合预警管理系统、智慧物联综合管理系统、海防缉私可视化管理系统，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充分应用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前端监控点位、LED信息发布大屏、智慧灯杆、视频监控系统等设备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最大限度地避免或减轻水库、水闸在汛期灾害中造成的人员伤亡和财产损失，形成海防和陆地防控两道防线，实现海、陆联防的立体联控管控。</w:t>
      </w:r>
    </w:p>
    <w:p>
      <w:pPr>
        <w:pageBreakBefore w:val="0"/>
        <w:widowControl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推进科学精细生态环境治理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推进和谐有序的“智慧生态”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持续完善环境污染防控“一张图”应用平台，梳理日常生态环境管理产生的动态和静态数据，完善对环境的全方位监管。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日，环境污染防控“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一张图”已完成基础页面开发，为加快落实汕尾市生态环境污染防控“一张图”建设，新增品清湖单独展示模块、环保督察对环境督察进度进行跟踪模块。</w:t>
      </w:r>
    </w:p>
    <w:p>
      <w:pPr>
        <w:pStyle w:val="4"/>
        <w:pageBreakBefore w:val="0"/>
        <w:widowControl w:val="0"/>
        <w:numPr>
          <w:ilvl w:val="0"/>
          <w:numId w:val="4"/>
        </w:numPr>
        <w:tabs>
          <w:tab w:val="left" w:pos="420"/>
          <w:tab w:val="clear" w:pos="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bookmarkStart w:id="41" w:name="_Toc4315"/>
      <w:bookmarkStart w:id="42" w:name="_Toc11339"/>
      <w:bookmarkStart w:id="43" w:name="_Toc7639"/>
      <w:r>
        <w:rPr>
          <w:rFonts w:hint="eastAsia" w:ascii="楷体_GB2312" w:hAnsi="楷体_GB2312" w:eastAsia="楷体_GB2312" w:cs="楷体_GB2312"/>
          <w:sz w:val="32"/>
          <w:szCs w:val="32"/>
        </w:rPr>
        <w:t>助力优势产业协调发展，增强经济发展新动力</w:t>
      </w:r>
      <w:bookmarkEnd w:id="41"/>
      <w:bookmarkEnd w:id="42"/>
      <w:bookmarkEnd w:id="43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统筹推进“智慧农业”建设。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spacing w:val="-9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</w:rPr>
        <w:t>“互联网+”农产品出村进城工程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依托广东“数字供销”纵深推进机遇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，推动我区涉农企业、专业合作社、农户等经营主体入驻数字供销平台，初步布局打造碧泉、绿恒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个“供销</w:t>
      </w:r>
      <w:r>
        <w:rPr>
          <w:rFonts w:hint="eastAsia" w:ascii="Times New Roman" w:hAnsi="Times New Roman" w:eastAsia="仿宋_GB2312" w:cs="仿宋_GB2312"/>
          <w:sz w:val="32"/>
          <w:szCs w:val="32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站”，入驻“粤供销为农综合服务门户”小程序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推行“线下引进+线上下单”的供销模式，实现农产品直供直销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稳步推进“数字渔业”建设。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AIS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通导设备处于离线状态渔船的日常监管，落实专人核实离线原因，如渔船涉嫌擅自关闭甚至拆卸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AIS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通导设备，由区海洋综合执法大队依法依规从严查处。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年以来我区共查处各类违规渔船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艘，行政处罚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万元，有力维持了城区渔港渔船安全秩序；密切掌握全区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1953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艘涉渔乡镇船舶和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艘国库渔船海上动态，各镇（街道）和区海洋综合执法大队组织协调各自业务股室将在册渔船船名号、船主姓名等基础数据信息录入系统并及时更新，确保做到“底数清、情况明”。三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扎实推进“数字产业”建设。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组织</w:t>
      </w:r>
      <w:r>
        <w:rPr>
          <w:rFonts w:hint="eastAsia" w:ascii="Times New Roman" w:hAnsi="Times New Roman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网上年货节活动、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“数商兴农惠享新消费”汕尾市城区第五届双品网购节直播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推动城区名优特产品“线上线下”双向流通，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推动我区农特产品上行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优质工业品下乡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助力城区的农产品电商和商贸流通发展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跨境电子商务综合试验区于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汕尾市城区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正式开园，</w:t>
      </w:r>
      <w:bookmarkStart w:id="44" w:name="_Hlk105962727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园区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年已招商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353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家跨境电商企业及外贸综合服务企业入驻，进出口规模达 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12.11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亿人民币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，</w:t>
      </w:r>
      <w:bookmarkEnd w:id="44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同时稳步推进“两平台六体系建设”，完善园区公共服务平台建设，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统计监测系统建设。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打造海洋科技创新体系。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积极推进冷链物流骨干网络建设，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将上线交易数据信息平台，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实时掌握库内作业状态，实现冷链物流过程全程可溯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widowControl w:val="0"/>
        <w:numPr>
          <w:ilvl w:val="0"/>
          <w:numId w:val="4"/>
        </w:numPr>
        <w:tabs>
          <w:tab w:val="left" w:pos="420"/>
          <w:tab w:val="clear" w:pos="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bookmarkStart w:id="45" w:name="_Toc26884"/>
      <w:bookmarkStart w:id="46" w:name="_Toc16063"/>
      <w:bookmarkStart w:id="47" w:name="_Toc27337"/>
      <w:r>
        <w:rPr>
          <w:rFonts w:hint="eastAsia" w:ascii="楷体_GB2312" w:hAnsi="楷体_GB2312" w:eastAsia="楷体_GB2312" w:cs="楷体_GB2312"/>
          <w:sz w:val="32"/>
          <w:szCs w:val="32"/>
        </w:rPr>
        <w:t>强化政府内部协同办公，释放行政协同新效能</w:t>
      </w:r>
      <w:bookmarkEnd w:id="45"/>
      <w:bookmarkEnd w:id="46"/>
      <w:bookmarkEnd w:id="47"/>
    </w:p>
    <w:p>
      <w:pPr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强化行政协同办公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一是实现协同办公平台全区推广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建立“粤政易”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活跃率每日通报制度，全面推广应用集办文、办公、办事为一体的粤政易·协同办公平台，完成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个区有关单位接入应用平台，增强政府部门办公集约、移动、协同能力。截至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日，“粤政易”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实名注册用户数为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人，激活率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99.66%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/>
          <w:lang w:val="en-US" w:eastAsia="zh-CN"/>
        </w:rPr>
        <w:t>是推动基层减负工作提质增效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成立由各级部门分管领导牵头的政务数据共享协调小组，破除阻碍政务数据共享的痛点、堵点、难点，加快实现政务数据跨层级、跨地域、跨系统、跨部门、跨业务共享和应用。</w:t>
      </w:r>
    </w:p>
    <w:p>
      <w:pPr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提升经济运行决策能力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深化联合审计数字化支撑能力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我区已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审计信息化管理系统，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并构建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一套完整的审计管理指标体系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支持审计数据的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智能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检索，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开展多维审计数据统计分析和可视化呈现，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成功将过去手工审计数据处理的模式转变为信息化处理模式。推动与区财政以及区直各单位记账系统的对接，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实时获取审计相关数据，开展实时审计，实时监督，实时预警，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/>
          <w14:textFill>
            <w14:solidFill>
              <w14:schemeClr w14:val="tx1"/>
            </w14:solidFill>
          </w14:textFill>
        </w:rPr>
        <w:t>审计工作常态化开展。</w:t>
      </w:r>
    </w:p>
    <w:p>
      <w:pPr>
        <w:pageBreakBefore w:val="0"/>
        <w:widowControl w:val="0"/>
        <w:numPr>
          <w:ilvl w:val="0"/>
          <w:numId w:val="7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加强党群多方协同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一是全速推动“智慧党建”建设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市级牵头的相关系统项目开发已取得一定进展，城区当前主要工作为积极配合上级和技术团队研发需求，目前已协助相关技术团队将两个亮点场景初步开发接入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民情地图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，同时坚持发挥区级党群服务中心教育阵地作用，在二楼设置相应展览学习区域，围绕‘党建与科技互融共生’理念，综合运用体感触控、VR虚拟情景、智能投影等技术手段，引导党员群众在智慧党建体验区沉浸教育氛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二是推进人大信息资源开发利用和共享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shd w:val="clear"/>
          <w:lang w:val="en-US" w:eastAsia="zh-Hans" w:bidi="ar-SA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不断优化和完善</w:t>
      </w:r>
      <w:r>
        <w:rPr>
          <w:rFonts w:hint="eastAsia" w:ascii="Times New Roman" w:hAnsi="Times New Roman" w:eastAsia="仿宋_GB2312" w:cs="仿宋_GB2312"/>
          <w:sz w:val="32"/>
          <w:szCs w:val="32"/>
        </w:rPr>
        <w:t>OA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系统无纸化办公使用，将公文收发、传阅送审、文件归档等工作流程全部纳入公文综合办公系统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实现了公文流转无纸化，提升机关行政效能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推进了信息资源开发利用和共享。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三是深化数字政协应用。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基于全省统一的政务外网和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“粤视会”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视频会议平台，建立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省市县三级政协互联互通的远程协商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实现政协委员在分会场或使用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粤政易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参加远程协商活动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</w:rPr>
        <w:t>建立政协大数据中心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基础数据积累和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大数据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利用作为政协信息化建设的重点，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zh-CN"/>
        </w:rPr>
        <w:t>对接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省政协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zh-CN" w:eastAsia="zh-CN" w:bidi="zh-CN"/>
        </w:rPr>
        <w:t>“数字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政协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标准版的业务系统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逐步推进各级政协的委员基础信息、提案、社情民意信息等接入政协大数据中心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四是提升群团组织数字化服务能力。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以微信小程序为统一入口，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打造城区爱心公益创新服务平台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提供便捷化的志愿者注册、志愿者管理工具，各区直单位、公益团体均可发布公益活动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pageBreakBefore w:val="0"/>
        <w:widowControl w:val="0"/>
        <w:numPr>
          <w:ilvl w:val="0"/>
          <w:numId w:val="4"/>
        </w:numPr>
        <w:tabs>
          <w:tab w:val="left" w:pos="420"/>
          <w:tab w:val="clear" w:pos="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bookmarkStart w:id="48" w:name="_Toc20000"/>
      <w:bookmarkStart w:id="49" w:name="_Toc4112"/>
      <w:bookmarkStart w:id="50" w:name="_Toc6750"/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助推基础设施集约升级，厚植基础支撑新潜能</w:t>
      </w:r>
      <w:bookmarkEnd w:id="48"/>
      <w:bookmarkEnd w:id="49"/>
      <w:bookmarkEnd w:id="50"/>
    </w:p>
    <w:p>
      <w:pPr>
        <w:pageBreakBefore w:val="0"/>
        <w:widowControl w:val="0"/>
        <w:numPr>
          <w:ilvl w:val="0"/>
          <w:numId w:val="8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完善集约化基础设施建设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一是持续推进应用系统上云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日，我区已迁移上云系统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个，待上云系统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个。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强化政务网络支撑能力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《汕尾市城区电子政务外网升级改造项目立项方案》项目落地，完成新一代网络安全设备安装以及推进我区区直部门、镇（街道）、村（社区）政务外网全覆盖，完成线路升级改造工作，实现“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到区直部门、镇（街道），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到村（社区）”的目标；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“粤盾-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“红盾-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”数字政府网络安全攻防实战演练的部署要求，督促指导区有关单位学习网络安全攻防演练系统防护工作，及时组织召开复盘总结。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推进政务数据的共享开放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针对当前政府部门间政务数据资源条块分割、“信息孤岛”“信息烟囱”问题突出、数据开发利用水平低等问题，组织各地各单位加快开展政务数据编目挂接和开放共享工作，目前我区在省政务大数据中心已上线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783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项政务数据资源，其中开放数据资源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254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项。</w:t>
      </w:r>
    </w:p>
    <w:p>
      <w:pPr>
        <w:pageBreakBefore w:val="0"/>
        <w:widowControl w:val="0"/>
        <w:numPr>
          <w:ilvl w:val="0"/>
          <w:numId w:val="8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构建稳定可靠的安全体系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一是推进核心技术国产化转型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区委办和区府办作为试点，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已初步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核心技术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国产化转型改造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/>
          <w:lang w:val="en-US" w:eastAsia="zh-CN"/>
        </w:rPr>
        <w:t>接下来，将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巩固扩展我区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核心技术国产化转型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进一步推进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核心技术国产化转型</w:t>
      </w:r>
      <w:r>
        <w:rPr>
          <w:rFonts w:hint="eastAsia" w:ascii="仿宋_GB2312" w:hAnsi="仿宋_GB2312" w:eastAsia="仿宋_GB2312" w:cs="仿宋_GB2312"/>
          <w:sz w:val="32"/>
          <w:szCs w:val="32"/>
        </w:rPr>
        <w:t>替代工作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二是强化安全运营管理能力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以开展政务外网等保测评工作为契机，加强信息安全制度建设，完善信息安全管理、资产管理、人员管理等制度，目前我区政务外网已顺利通过等保二级测评。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加强对政务外网机房的常态化巡检，落实全国两会、节假日等重点时期重保工作，防范重大网络安全事件发生。</w:t>
      </w:r>
    </w:p>
    <w:p>
      <w:pPr>
        <w:pStyle w:val="4"/>
        <w:pageBreakBefore w:val="0"/>
        <w:widowControl w:val="0"/>
        <w:numPr>
          <w:ilvl w:val="0"/>
          <w:numId w:val="4"/>
        </w:numPr>
        <w:tabs>
          <w:tab w:val="left" w:pos="420"/>
          <w:tab w:val="clear" w:pos="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bookmarkStart w:id="51" w:name="_Toc25437"/>
      <w:bookmarkStart w:id="52" w:name="_Toc7807"/>
      <w:bookmarkStart w:id="53" w:name="_Toc26277"/>
      <w:r>
        <w:rPr>
          <w:rFonts w:hint="eastAsia" w:ascii="楷体_GB2312" w:hAnsi="楷体_GB2312" w:eastAsia="楷体_GB2312" w:cs="楷体_GB2312"/>
          <w:sz w:val="32"/>
          <w:szCs w:val="32"/>
        </w:rPr>
        <w:t>全力推动体制机制改革，凝聚体制创新新合力</w:t>
      </w:r>
      <w:bookmarkEnd w:id="51"/>
      <w:bookmarkEnd w:id="52"/>
      <w:bookmarkEnd w:id="53"/>
    </w:p>
    <w:p>
      <w:pPr>
        <w:pageBreakBefore w:val="0"/>
        <w:widowControl w:val="0"/>
        <w:numPr>
          <w:ilvl w:val="0"/>
          <w:numId w:val="9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完善统筹管理运营机制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一是加快落实首席数据官责任制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探索首席数据官制度，制定出台《汕尾市城区首席数据官制度实施方案》，明确各地各单位在数据共享、数据安全责任。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二是强化智库支撑能力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</w:rPr>
        <w:t>加强政企合作，成立汕尾市城区数字政府运营中心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</w:rPr>
        <w:t>并发挥数字政府运营中心规划支撑作用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eastAsia="zh-CN"/>
        </w:rPr>
        <w:t>。针对城区数字政府改革建设重点项目，按需引入咨询、监理、测评等第三方服务机构辅助开展项目建设与管理工作，确保重点项目建设目标科学、过程可控、预算合理，有针对地弥补城区信息化专业人才短缺和经验不足的短板。截至2023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日，累计开展项目咨询服务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次，监理服务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次，测评服务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/>
          <w:lang w:val="en-US" w:eastAsia="zh-CN"/>
        </w:rPr>
        <w:t>次。</w:t>
      </w:r>
      <w:r>
        <w:rPr>
          <w:rFonts w:hint="eastAsia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是加强项目立项统筹能力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我区数字政府改革建设要求、信息化发展规律和政务信息化项目特点，结合业务发展需要，制定本系统、本单位政务信息化规划和政务数据资源目录，作为项目立项审批的必备条件；统筹推进我区政务信息化项目建设，加强对区级政府投资政务信息化项目技术审查工作。</w:t>
      </w:r>
    </w:p>
    <w:p>
      <w:pPr>
        <w:pageBreakBefore w:val="0"/>
        <w:widowControl w:val="0"/>
        <w:numPr>
          <w:ilvl w:val="0"/>
          <w:numId w:val="9"/>
        </w:numPr>
        <w:tabs>
          <w:tab w:val="left" w:pos="420"/>
        </w:tabs>
        <w:kinsoku/>
        <w:wordWrap/>
        <w:overflowPunct/>
        <w:topLinePunct w:val="0"/>
        <w:bidi w:val="0"/>
        <w:snapToGrid/>
        <w:spacing w:beforeLines="0" w:afterLines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加强标准规范落地实施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规划实施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进展。</w:t>
      </w:r>
      <w:bookmarkStart w:id="54" w:name="_Toc613424181"/>
      <w:bookmarkStart w:id="55" w:name="_Toc1855440708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把好政务信息化项目立项关。据我区数字政府改革建设要求、信息化发展规律和政务信息化项目特点，统筹考虑各信息化建设需求审查，要求各有关单位应按照数字政府改革建设规划，结合业务发展需要，制定本系统、本单位政务信息化规划和政务数据资源目录，作为项目立项审批的必备条件；统筹推进我区政务信息化项目建设，加强对区级政府投资政务信息化项目技术审查工作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Hans"/>
        </w:rPr>
      </w:pPr>
      <w:bookmarkStart w:id="56" w:name="_Toc19574"/>
      <w:bookmarkStart w:id="57" w:name="_Toc14462"/>
      <w:bookmarkStart w:id="58" w:name="_Toc5532"/>
      <w:r>
        <w:rPr>
          <w:rFonts w:hint="eastAsia" w:ascii="黑体" w:hAnsi="黑体" w:eastAsia="黑体" w:cs="黑体"/>
          <w:b w:val="0"/>
          <w:bCs/>
          <w:lang w:val="en-US" w:eastAsia="zh-Hans"/>
        </w:rPr>
        <w:t>规划实施面临的主要问题和风险挑战</w:t>
      </w:r>
      <w:bookmarkEnd w:id="54"/>
      <w:bookmarkEnd w:id="55"/>
      <w:bookmarkEnd w:id="56"/>
      <w:bookmarkEnd w:id="57"/>
      <w:bookmarkEnd w:id="58"/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</w:rPr>
      </w:pPr>
      <w:bookmarkStart w:id="59" w:name="_Toc1898704467"/>
      <w:bookmarkStart w:id="60" w:name="_Toc781941269"/>
      <w:bookmarkStart w:id="61" w:name="_Toc27272"/>
      <w:bookmarkStart w:id="62" w:name="_Toc7876"/>
      <w:bookmarkStart w:id="63" w:name="_Toc32235"/>
      <w:r>
        <w:rPr>
          <w:rFonts w:hint="eastAsia" w:ascii="楷体_GB2312" w:hAnsi="楷体_GB2312" w:eastAsia="楷体_GB2312" w:cs="楷体_GB2312"/>
        </w:rPr>
        <w:t>外部环境变化情况</w:t>
      </w:r>
      <w:bookmarkEnd w:id="59"/>
      <w:bookmarkEnd w:id="60"/>
      <w:bookmarkEnd w:id="61"/>
      <w:bookmarkEnd w:id="62"/>
      <w:bookmarkEnd w:id="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highlight w:val="none"/>
          <w:lang w:val="en-US" w:eastAsia="zh-Hans"/>
        </w:rPr>
        <w:t>当今世界正经历百年未有之大变局，新一轮科技革命和产业变革深入发展，国际力量对比深刻调整，新冠肺炎疫情影响广泛深远，世界进入动荡变革期。</w:t>
      </w:r>
      <w:r>
        <w:rPr>
          <w:rFonts w:hint="eastAsia" w:ascii="仿宋_GB2312" w:hAnsi="仿宋_GB2312" w:eastAsia="仿宋_GB2312" w:cs="仿宋_GB2312"/>
          <w:b/>
          <w:bCs/>
          <w:highlight w:val="none"/>
          <w:lang w:eastAsia="zh-Hans"/>
        </w:rPr>
        <w:t>从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Hans"/>
        </w:rPr>
        <w:t>国际</w:t>
      </w:r>
      <w:r>
        <w:rPr>
          <w:rFonts w:hint="eastAsia" w:ascii="仿宋_GB2312" w:hAnsi="仿宋_GB2312" w:eastAsia="仿宋_GB2312" w:cs="仿宋_GB2312"/>
          <w:b/>
          <w:bCs/>
          <w:highlight w:val="none"/>
          <w:lang w:eastAsia="zh-Hans"/>
        </w:rPr>
        <w:t>看，</w:t>
      </w:r>
      <w:r>
        <w:rPr>
          <w:rFonts w:hint="eastAsia" w:ascii="仿宋_GB2312" w:hAnsi="仿宋_GB2312" w:eastAsia="仿宋_GB2312" w:cs="仿宋_GB2312"/>
          <w:highlight w:val="none"/>
          <w:lang w:eastAsia="zh-Hans"/>
        </w:rPr>
        <w:t>各国政府越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highlight w:val="none"/>
          <w:lang w:eastAsia="zh-Hans"/>
        </w:rPr>
        <w:t>依赖数字技术满足日常需求和应对特殊挑战，加快政府数字化转型已成为国际普遍共识，全球范围内数字政府建设步伐正在加快，数字化已经成为引领创新和驱动转型的先导力量，成为衡量综合国力和国际竞争力的重要标志。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Hans"/>
        </w:rPr>
        <w:t>从国内看</w:t>
      </w:r>
      <w:r>
        <w:rPr>
          <w:rFonts w:hint="eastAsia" w:ascii="仿宋_GB2312" w:hAnsi="仿宋_GB2312" w:eastAsia="仿宋_GB2312" w:cs="仿宋_GB2312"/>
          <w:b/>
          <w:bCs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highlight w:val="none"/>
          <w:lang w:eastAsia="zh-Hans"/>
        </w:rPr>
        <w:t>党的二十大报告提出加快建设网络强国、数字中国，并对事关网络强国、数字中国建设的一系列重大问题作出战略部署。数字政府作为数字中国体系的重要组成部分，加快数字政府建设是新时代全面深化行政体制改革的必然选择，是推动数字经济转型的重要保障，是加快数字化发展战略的重要任务，也是有效推动我国经济、社会、生态等方面高质量发展的重要抓手，必将对加快实现中国式现代化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形成</w:t>
      </w:r>
      <w:r>
        <w:rPr>
          <w:rFonts w:hint="eastAsia" w:ascii="仿宋_GB2312" w:hAnsi="仿宋_GB2312" w:eastAsia="仿宋_GB2312" w:cs="仿宋_GB2312"/>
          <w:highlight w:val="none"/>
          <w:lang w:eastAsia="zh-Hans"/>
        </w:rPr>
        <w:t>深远影响。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Hans"/>
        </w:rPr>
        <w:t>从省内看</w:t>
      </w:r>
      <w:r>
        <w:rPr>
          <w:rFonts w:hint="eastAsia" w:ascii="仿宋_GB2312" w:hAnsi="仿宋_GB2312" w:eastAsia="仿宋_GB2312" w:cs="仿宋_GB2312"/>
          <w:b/>
          <w:bCs/>
          <w:highlight w:val="none"/>
          <w:lang w:eastAsia="zh-Hans"/>
        </w:rPr>
        <w:t>，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Hans"/>
        </w:rPr>
        <w:t>2022</w:t>
      </w:r>
      <w:r>
        <w:rPr>
          <w:rFonts w:hint="eastAsia" w:ascii="仿宋_GB2312" w:hAnsi="仿宋_GB2312" w:eastAsia="仿宋_GB2312" w:cs="仿宋_GB2312"/>
          <w:highlight w:val="none"/>
          <w:lang w:eastAsia="zh-Hans"/>
        </w:rPr>
        <w:t>年</w:t>
      </w:r>
      <w:r>
        <w:rPr>
          <w:rFonts w:hint="eastAsia" w:ascii="Times New Roman" w:hAnsi="Times New Roman" w:eastAsia="仿宋_GB2312" w:cs="仿宋_GB2312"/>
          <w:sz w:val="32"/>
          <w:highlight w:val="none"/>
          <w:lang w:eastAsia="zh-Hans"/>
        </w:rPr>
        <w:t>6</w:t>
      </w:r>
      <w:r>
        <w:rPr>
          <w:rFonts w:hint="eastAsia" w:ascii="仿宋_GB2312" w:hAnsi="仿宋_GB2312" w:eastAsia="仿宋_GB2312" w:cs="仿宋_GB2312"/>
          <w:highlight w:val="none"/>
          <w:lang w:eastAsia="zh-Hans"/>
        </w:rPr>
        <w:t>月，国务院发布《关于加强数字政府建设的指导意见》后，各省市数字政府建设驶入快车道。广东的数字政府发展水平在多项全国性评价指标中位于前列。今年发布的《关于进一步深化数字政府改革建设的实施意见》，提出要充分发挥数字政府改革建设对数字经济、数字文化、数字社会、数字生态文明的引领作用，以数字化驱动生产生活和治理方式变革，意味着广东数字政府建设已挺进纵深阶段，一路指向全国领先。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从市内看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，汕尾市委八届四次全会作出高层次实施“四数联动”示范工程战略部署，推动数字政府、数字城市、数字社会、数字经济一体化发展，以数字政府建设引领经济社会高质量发展。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与此同时</w:t>
      </w:r>
      <w:r>
        <w:rPr>
          <w:rFonts w:hint="eastAsia" w:ascii="仿宋_GB2312" w:hAnsi="仿宋_GB2312" w:eastAsia="仿宋_GB2312" w:cs="仿宋_GB2312"/>
          <w:lang w:eastAsia="zh-Hans"/>
        </w:rPr>
        <w:t>，数字政府建设依然面临着</w:t>
      </w:r>
      <w:r>
        <w:rPr>
          <w:rFonts w:hint="eastAsia" w:ascii="仿宋_GB2312" w:hAnsi="仿宋_GB2312" w:eastAsia="仿宋_GB2312" w:cs="仿宋_GB2312"/>
          <w:lang w:val="en-US" w:eastAsia="zh-Hans"/>
        </w:rPr>
        <w:t>技术挑战</w:t>
      </w:r>
      <w:r>
        <w:rPr>
          <w:rFonts w:hint="eastAsia" w:ascii="仿宋_GB2312" w:hAnsi="仿宋_GB2312" w:eastAsia="仿宋_GB2312" w:cs="仿宋_GB2312"/>
          <w:lang w:eastAsia="zh-Hans"/>
        </w:rPr>
        <w:t>，行业壁垒难以打破、数据流通共享困难、建设运营成本偏高、网络安全面临挑战等问题，</w:t>
      </w:r>
      <w:r>
        <w:rPr>
          <w:rFonts w:hint="eastAsia" w:ascii="仿宋_GB2312" w:hAnsi="仿宋_GB2312" w:eastAsia="仿宋_GB2312" w:cs="仿宋_GB2312"/>
          <w:lang w:val="en-US" w:eastAsia="zh-CN"/>
        </w:rPr>
        <w:t>便民</w:t>
      </w:r>
      <w:r>
        <w:rPr>
          <w:rFonts w:hint="eastAsia" w:ascii="仿宋_GB2312" w:hAnsi="仿宋_GB2312" w:eastAsia="仿宋_GB2312" w:cs="仿宋_GB2312"/>
          <w:lang w:eastAsia="zh-Hans"/>
        </w:rPr>
        <w:t>服务水平离满足人民日益增长的美好生活需要存在差距。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</w:rPr>
      </w:pPr>
      <w:bookmarkStart w:id="64" w:name="_Toc11710"/>
      <w:bookmarkStart w:id="65" w:name="_Toc2066466096"/>
      <w:bookmarkStart w:id="66" w:name="_Toc30353"/>
      <w:bookmarkStart w:id="67" w:name="_Toc15048"/>
      <w:bookmarkStart w:id="68" w:name="_Toc1634472090"/>
      <w:r>
        <w:rPr>
          <w:rFonts w:hint="eastAsia" w:ascii="楷体_GB2312" w:hAnsi="楷体_GB2312" w:eastAsia="楷体_GB2312" w:cs="楷体_GB2312"/>
        </w:rPr>
        <w:t>完成本</w:t>
      </w:r>
      <w:r>
        <w:rPr>
          <w:rFonts w:hint="eastAsia" w:ascii="楷体_GB2312" w:hAnsi="楷体_GB2312" w:eastAsia="楷体_GB2312" w:cs="楷体_GB2312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</w:rPr>
        <w:t>承担任务面临的主要问题和挑战</w:t>
      </w:r>
      <w:bookmarkEnd w:id="64"/>
      <w:bookmarkEnd w:id="65"/>
      <w:bookmarkEnd w:id="66"/>
      <w:bookmarkEnd w:id="67"/>
      <w:bookmarkEnd w:id="68"/>
    </w:p>
    <w:p>
      <w:pPr>
        <w:pStyle w:val="14"/>
        <w:numPr>
          <w:ilvl w:val="0"/>
          <w:numId w:val="0"/>
        </w:numPr>
        <w:autoSpaceDE/>
        <w:autoSpaceDN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Hans" w:bidi="ar-SA"/>
        </w:rPr>
        <w:t>“十四五”以来，面对百年变局和疫情交织叠加的考验，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城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Hans" w:bidi="ar-SA"/>
        </w:rPr>
        <w:t>区在创新驱动、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数字化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Hans" w:bidi="ar-SA"/>
        </w:rPr>
        <w:t>转型发展的过程中取得了积极成效，经济社会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整体</w:t>
      </w: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Hans" w:bidi="ar-SA"/>
        </w:rPr>
        <w:t>保持良好和健康的发展态势，但也还存在不少困难挑战。</w:t>
      </w:r>
    </w:p>
    <w:p>
      <w:pPr>
        <w:pStyle w:val="14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1.政务服务领域短板亟待补齐。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我区便民利企相关平台的推广力度仍需加大，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当前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政务服务大厅的“一件事”主题服务办件量较少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群众对粤系列、善美系列移动端应用的了解程度也不高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在部分村落中，粤智助政府服务自助机的业务量仍然较低，信息传递存在滞后的风险。</w:t>
      </w:r>
    </w:p>
    <w:p>
      <w:pPr>
        <w:pStyle w:val="14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金融服务改革亟待加强。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我区作为市辖区，缺乏人民银行、银保监局等金融监管机构，各银行机构均为市级单位，难以联合金融机构制定针对我区企业、农村的信贷优惠政策。在推动金融服务中小微企业和农村改革方面缺乏有效手段，工作显得较为被动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社会治理领域存在薄弱环节。一是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智慧消防起步根基不实，发展参差不齐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智能设备品类繁杂，推广覆盖不均，集成化、平台化程度低下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信息化治理、网格治理机制仍不顺畅，消防安全底数不清。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社会面消防安全“明白人”基数小、比率低，消防安全技能培训开展不到位，消防安全知晓率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提升任重道远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二是监测预警涉及的范围不够广、智能性不足。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我区监测预警目前仅依托“一网统管”系统及林火监控视频系统开展相关监测预警，对城市生命线、公共安全、生产安全、自然灾害等四大领域多个行业安全风险监测能力不足。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预警监测只能实现人工监测，无法实现动态感知、精准监测、精准预警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。三是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u w:val="none"/>
          <w:lang w:bidi="ar"/>
        </w:rPr>
        <w:t>缺乏无人机自动巡护和智能识别系统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kern w:val="0"/>
          <w:sz w:val="32"/>
          <w:szCs w:val="32"/>
          <w:u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kern w:val="0"/>
          <w:sz w:val="32"/>
          <w:szCs w:val="32"/>
          <w:u w:val="none"/>
          <w:lang w:val="en-US" w:eastAsia="zh-CN" w:bidi="ar"/>
        </w:rPr>
        <w:t>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林区地理范围广阔且道路条件艰难，毁林开垦、乱占林地、乱砍滥伐等违法行为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无法通过无人机巡护及时被发现和处理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产业创新发展距前沿尖端存在差距。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当前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国家颁布的税收政策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当地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的实施和落地执行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规定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bidi="ar"/>
        </w:rPr>
        <w:t>还不完善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。同时，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企业科技创新动力不足。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科技企业总量小且创新能力较弱、研发投入水平较低、高端创新平台不足、孵化机构孵化功能不强、科技服务平台接近空白、企业引育人才意识淡薄、高端领军人才缺乏，大部分制造业企业产业链相对低端，转型政策未落地，制约了我区企业数字化转型步伐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bidi="ar"/>
        </w:rPr>
        <w:t>内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bidi="ar"/>
        </w:rPr>
        <w:t>信息化建设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认知有待加强。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我区部分政府干部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对信息化建设工作普遍存在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重硬件、轻软件，重建设、轻应用，重技术、轻管理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的现象，不利于应用系统和信息平台建设及应用推广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部分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习惯了传统模式的干部对信息技术的利用存在不信任感，对新事物的接受程度存在着明显的差异，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导致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信息化技术的利用存在局限性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体制机制改革领域有待健全。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当前我区采用市级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年出台的《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bidi="ar"/>
        </w:rPr>
        <w:t>汕尾市涉及固定资产投资的市级政务信息化项目审批细则》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和我区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2019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年发布的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 w:bidi="ar"/>
        </w:rPr>
        <w:t>《汕尾市城区区级政务信息化服务项目管理办法》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bidi="ar"/>
        </w:rPr>
        <w:t>对信息化项目立项管理进行统一指导和规范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随着信息技术的快速发展和革新，政务信息化也迎来新一轮的升级浪潮，当前信息化项目管理办法亟需迭代更新，贴合新时代发展，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更科学、合理地指导和规范我区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lang w:bidi="ar"/>
        </w:rPr>
        <w:t>政务信息化项目的立项管理。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Hans"/>
        </w:rPr>
      </w:pPr>
      <w:bookmarkStart w:id="69" w:name="_Toc9125"/>
      <w:bookmarkStart w:id="70" w:name="_Toc13582"/>
      <w:bookmarkStart w:id="71" w:name="_Toc1990136188"/>
      <w:bookmarkStart w:id="72" w:name="_Toc2109087853"/>
      <w:bookmarkStart w:id="73" w:name="_Toc29284"/>
      <w:r>
        <w:rPr>
          <w:rFonts w:hint="eastAsia" w:ascii="黑体" w:hAnsi="黑体" w:eastAsia="黑体" w:cs="黑体"/>
          <w:b w:val="0"/>
          <w:bCs/>
          <w:lang w:val="en-US" w:eastAsia="zh-Hans"/>
        </w:rPr>
        <w:t>进一步推进规划实施的对策建议</w:t>
      </w:r>
      <w:bookmarkEnd w:id="69"/>
      <w:bookmarkEnd w:id="70"/>
      <w:bookmarkEnd w:id="71"/>
      <w:bookmarkEnd w:id="72"/>
      <w:bookmarkEnd w:id="7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/>
        </w:rPr>
      </w:pPr>
      <w:bookmarkStart w:id="74" w:name="_Toc30243"/>
      <w:bookmarkStart w:id="75" w:name="_Toc1074467989"/>
      <w:bookmarkStart w:id="76" w:name="_Toc1540"/>
      <w:bookmarkStart w:id="77" w:name="_Toc2268"/>
      <w:bookmarkStart w:id="78" w:name="_Toc1161109691"/>
      <w:r>
        <w:rPr>
          <w:rFonts w:hint="eastAsia" w:ascii="楷体_GB2312" w:hAnsi="楷体_GB2312" w:eastAsia="楷体_GB2312" w:cs="楷体_GB2312"/>
        </w:rPr>
        <w:t>下一步工作考虑</w:t>
      </w:r>
      <w:bookmarkEnd w:id="74"/>
      <w:bookmarkEnd w:id="75"/>
      <w:bookmarkEnd w:id="76"/>
      <w:bookmarkEnd w:id="77"/>
      <w:bookmarkEnd w:id="7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助推政务服务高质量发展。一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推进“互联网＋政务服务”标准化建设。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实行线上与线下并重、网上大厅与实体大厅融合，通过事项标准化、强化办事指南动态管理、无证明应用、数据共享等举措，推进市区两级办事服务标准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%统一，逐步实现各类政务服务平台与数据的融合与应用。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大力推广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指尖服务与自助机服务应用。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持续拓展“粤省事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汕尾版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”“粤商通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·汕尾版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”“善美村居”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善美店小二”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“善美码”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汕尾特色应用的广度与深度，加大“粤智助”政府服务自助机的宣传推广力度，为群众提供便捷的掌上办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就近办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</w:rPr>
        <w:t>服务。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持续丰富“一件事”主题服务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。落地实施不少于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项“一件事”主题服务，推动“一件事”主题服务网上办。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加快公共资源交易便利化。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按照市统一工作部署，推广应用市公共资源交易平台，持续推广使用网上中介服务超市，取消政府采购投标保证金，降低企业制度性交易成本。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是进一步拓展各领域便民服务应用。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</w:rPr>
        <w:t>加强与金融机构的协同合作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研究制定切合我区农村实际的涉农金融产品，创新涉农信用贷款融资模式，推动“整村授信”，促进特色农业保险创新发展，加大对“三农”的有效金融支持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进一步扩展社会保障卡“一卡通”应用。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完善社会保障卡线上线下服务能力输出，加强信息同步和规范数据安全，提供便捷、高效、安全的服务支撑。推广使用“善美村居”等人社应用服务，实现高频业务“指尖办”“宅急办”。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医疗电子票据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持续深化推动医疗电子票据的普及应用，加强电子票据流通性，提高群众使用电子票据接受度与满意度。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outlineLvl w:val="9"/>
        <w:rPr>
          <w:rFonts w:hint="eastAsia" w:ascii="仿宋_GB2312" w:hAnsi="仿宋_GB2312" w:eastAsia="FangSong_GB2312" w:cs="仿宋_GB2312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强化社会治理信息化支撑。一是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持续加大“智慧消防”建设投入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，强化“民情地图”深度运用，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搭建调度指挥和接处警系统，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将各镇街专职消防队纳入接警调度系统，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建成集作战指挥与预警监测、火灾防范一体的中枢大脑，整合资源建设城市消防远程监控系统，建设智能消防产品集成化管理与基层末端执法平台，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/>
          <w:lang w:val="en-US" w:eastAsia="zh-CN" w:bidi="ar"/>
        </w:rPr>
        <w:t>实现全区消防工作“一张图”，高效提升实时作战指挥效能与防范监测能力。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shd w:val="clear"/>
          <w:lang w:val="en-US" w:eastAsia="zh-CN" w:bidi="ar"/>
        </w:rPr>
        <w:t>二是提升我区综合监测预警能力和水平。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shd w:val="clear"/>
          <w:lang w:val="en-US" w:eastAsia="zh-CN" w:bidi="ar"/>
        </w:rPr>
        <w:t>结合我区中共汕尾市城区委应急指挥中心项目建设，复用市级监测预警中心现有监测预警能力，运用大数据、云计算和物联网等现代化信息技术，开展分析研判能力建设，加快监测预警从静态分析向动态感知、事后应急向事前预防转变，提升我区综合监测预警能力和水平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shd w:val="clear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加强森林资源自动化巡护。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加强自动化森林资源监测能力，建设无人机自动化巡护巡林点位部署，提高日常巡林效率，提升林地变化感知判别能力，及时且有效地杜绝毁林占地事件。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持续推动人社服务场景上图。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坚持以数字政府建设改革撬动人社领域改革，强化数字赋能，特色化打造汕尾“民情地图”参保、就业、培训、维权等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个图层场景。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" w:hAnsi="仿宋" w:eastAsia="仿宋" w:cs="仿宋"/>
          <w:b/>
          <w:bCs/>
          <w:color w:val="323232"/>
          <w:kern w:val="2"/>
          <w:sz w:val="32"/>
          <w:szCs w:val="32"/>
          <w:lang w:val="en-US" w:eastAsia="zh-CN" w:bidi="ar-SA"/>
        </w:rPr>
        <w:t>强化生态环境综合执法监测。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继续不断完善环境污染防控“一张图”应用平台建设，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全面整合、共享和利用现有生态环境信息资源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完成污染源头监督性监测、执法监测和应急监测任务，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为深入打好污染防治攻坚战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是切实推进城市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数字化建设。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紧抓“数字城市”发展契机，围绕“旅游、教育、城管、数据要素”等方面，以“城市服务一网通办、城市管理一网统管、</w:t>
      </w:r>
      <w:r>
        <w:rPr>
          <w:rFonts w:hint="eastAsia" w:ascii="仿宋_GB2312" w:hAnsi="仿宋_GB2312" w:eastAsia="仿宋_GB2312" w:cs="仿宋_GB2312"/>
          <w:szCs w:val="32"/>
          <w:highlight w:val="none"/>
          <w:shd w:val="clear"/>
        </w:rPr>
        <w:t>城市产业一网兴业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”为目标，依托</w:t>
      </w:r>
      <w:r>
        <w:rPr>
          <w:rFonts w:hint="eastAsia" w:ascii="Times New Roman" w:hAnsi="Times New Roman" w:eastAsia="仿宋_GB2312" w:cs="仿宋_GB231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G、大数据、互联网、人工智能、区块链等新一代信息技术，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积极推进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“数字城市”信息化建设项目（一期）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方案与资金落地，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奋力打造宜居宜业宜游的现代化滨海新城，</w:t>
      </w:r>
      <w:r>
        <w:rPr>
          <w:rFonts w:hint="eastAsia" w:ascii="仿宋_GB2312" w:hAnsi="仿宋_GB2312" w:eastAsia="仿宋_GB2312" w:cs="仿宋_GB2312"/>
          <w:szCs w:val="32"/>
          <w:highlight w:val="none"/>
          <w:lang w:val="en-US" w:eastAsia="zh-CN"/>
        </w:rPr>
        <w:t>驱动汕尾市城区城市数字化建设走出加速度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。</w:t>
      </w:r>
    </w:p>
    <w:p>
      <w:pPr>
        <w:spacing w:before="228" w:line="357" w:lineRule="auto"/>
        <w:ind w:left="15" w:right="49" w:firstLine="65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提高政府运行数字化建设水平。一是强化政务信息化项目立项审批。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快编制政务信息化项目管理办法，完善政务信息化全流程管理权责分工、流程设置和工作要求，加强对区级政府投资政务信息化项目技术审查工作，严格把控项目建设必要性、是否符合数字政府改革建设要求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二是加强数字政府运维建设。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开展数字政府基础设施运维工作，学习借鉴市级运维管理制度、应急响应机制、问题解决方案等，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探索市区一体协作的运维管理机制，强化运维意识，提升运维服务能力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eastAsia="仿宋_GB2312" w:cs="仿宋_GB2312"/>
          <w:b/>
          <w:bCs/>
          <w:color w:val="auto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基础设施数字化保障。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一是夯实数据支撑底座。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督促指导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各地各单位畅通数据资源共享，强化各领域数据归集，进一步深化数据普查，增强高质量数据资源供给，加强跨部门、跨地域、跨层级数据共享应用。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二是强化政务外网应用支撑。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探索推进政务外网准入控制、无线接入认证，坚决杜绝网络资源浪费。整理优化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政务外网链路，提升政务外网带宽，满足各地各单位应用需求。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三是加强应用上云。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基于政务云汕尾节点，推进各地各单位政务信息系统应上尽上，新建政务信息系统原则上必须上云，坚决杜绝自建机房。强化上云系统安全及资源利用管理，不断提升政务信息系统安全防护保障能力。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四是加强数字政府网络安全建设。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着重提升政务外网安全防护能力，加强政务外网节假日重保及日常巡检，并组织开展我区数字政府网络安全攻防演练，提升各地各单位网络安全应急处置能力。</w:t>
      </w:r>
    </w:p>
    <w:p>
      <w:pPr>
        <w:spacing w:before="0" w:line="560" w:lineRule="exact"/>
        <w:ind w:left="0" w:right="0" w:firstLine="63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lang w:val="en-US" w:eastAsia="zh-CN"/>
        </w:rPr>
        <w:t>5.完善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体制机制规范化改革。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一是健全政务外网管理制度。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完善政务外网接入、退出、变更、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VPN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申请等各项流程，明确各应用方管理及网络安全责任。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二是探索首席数据官制度。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制定出台《汕尾市城区首席数据官制度实施方案》，充分发挥首席数据官领头羊作用，明确各地各单位在数据共享、数据安全责任，进一步提高数据治理和数据运营能力。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三是建立区、镇（街道）政务数据共享协调小组。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成立由各级部门分管领导牵头的政务数据共享协调小组，破除阻碍政务数据共享的痛点、堵点、难点，加快实现政务数据跨层级、跨地域、跨系统、跨部门、跨业务共享和应用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加强项目立项统筹能力。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修订完善《汕尾市城区区级政务信息化项目管理办法》，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进一步明确全区政务信息化项目立项审批工作内容、职责与要求，加强项目立项管理与统筹能力，提高项目建设的集约性，避免重复性建设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更加贴合新型智慧城市发展进程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</w:rPr>
      </w:pPr>
      <w:bookmarkStart w:id="79" w:name="_Toc19610"/>
      <w:bookmarkStart w:id="80" w:name="_Toc31953"/>
      <w:bookmarkStart w:id="81" w:name="_Toc18839"/>
      <w:r>
        <w:rPr>
          <w:rFonts w:hint="eastAsia" w:ascii="楷体_GB2312" w:hAnsi="楷体_GB2312" w:eastAsia="楷体_GB2312" w:cs="楷体_GB2312"/>
        </w:rPr>
        <w:t>对策建议</w:t>
      </w:r>
      <w:bookmarkEnd w:id="79"/>
      <w:bookmarkEnd w:id="80"/>
      <w:bookmarkEnd w:id="8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“十四五”后半程调整建议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。根据中期评估结果， 结合“十四五”下半程城区数字政府发展新需求、新要求，建议取消、调整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项任务。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因县（市、区）无知识产权主体清单，无法建立知识产权失信主体相关制度，建议删除重点任务“着力提升知识创造、产权保护力度”任务中“开通知识产权局城区业务受理窗口”“建立知识产权失信主体‘黑名单’制度”等要求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因财政数据保密要求，建议删除重点任务中“深化联合审计数字化支撑能力”中“推动实现与区财政、区直各单位记账系统对接”相关要求；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因涉及公职人员履职全生命周期服务事项涉及敏感信息，建议删除重点任务中“着力提升政府内部“一件事”处置效能”。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拓宽资金渠道，加大资金保障。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充分发挥政府在建设中的主导作用，切实增加财政预算投入，建立政府投资稳定增长机制，集中财力办大事，着力推进“智慧林业”“智慧水利”“智慧统计”“智慧城管”“智慧农业”“智慧党建”等因资金紧俏而停滞不前的专项工作落地。在逐步增加财政性投入的同时，利用经济手段，培育和引导市场，鼓励调动非公有制经济组织的投资积极性，吸引更多的民间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推动政府数据资源共享开放。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探索贯穿数据全生命周期的数据治理新路径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。以需求为导向，加强数据共享的供需对接，持续提升数据使用效能。通过信息集成、流程优化，有效推动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财政、民政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、公安、市场监管等部门业务从独立运行向条块协同转变，推动政务数据跨部门跨层级共享。</w:t>
      </w:r>
    </w:p>
    <w:p>
      <w:pPr>
        <w:pStyle w:val="14"/>
        <w:ind w:firstLine="643" w:firstLineChars="200"/>
        <w:rPr>
          <w:rFonts w:hint="default" w:ascii="Times New Roman" w:hAnsi="Times New Roman" w:cs="Times New Roman"/>
          <w:lang w:eastAsia="zh-Hans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Hans" w:bidi="ar-SA"/>
        </w:rPr>
        <w:t>加大数字政府建设的人才储备力度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eastAsia="zh-Hans" w:bidi="ar-SA"/>
        </w:rPr>
        <w:t>。</w:t>
      </w:r>
      <w:r>
        <w:rPr>
          <w:rFonts w:hint="default" w:ascii="Times New Roman" w:hAnsi="Times New Roman" w:cs="Times New Roman"/>
          <w:lang w:eastAsia="zh-Hans"/>
        </w:rPr>
        <w:t>围绕数字政府领导干部能力提升，采取线上线下相结合的模式，用好省级、</w:t>
      </w:r>
      <w:r>
        <w:rPr>
          <w:rFonts w:hint="eastAsia" w:cs="Times New Roman"/>
          <w:lang w:eastAsia="zh-CN"/>
        </w:rPr>
        <w:t>市级</w:t>
      </w:r>
      <w:r>
        <w:rPr>
          <w:rFonts w:hint="default" w:ascii="Times New Roman" w:hAnsi="Times New Roman" w:cs="Times New Roman"/>
          <w:lang w:eastAsia="zh-Hans"/>
        </w:rPr>
        <w:t>培训资源和平台，并结合</w:t>
      </w:r>
      <w:r>
        <w:rPr>
          <w:rFonts w:hint="eastAsia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  <w:lang w:eastAsia="zh-Hans"/>
        </w:rPr>
        <w:t>实际针对性开展新技术和网络安全、数据安全管理、数据要素市场化配置改革、数字政府建设制度体系、数字经济发展等业务培训，进一步促进我</w:t>
      </w:r>
      <w:r>
        <w:rPr>
          <w:rFonts w:hint="eastAsia" w:ascii="Times New Roman" w:hAnsi="Times New Roman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  <w:lang w:eastAsia="zh-Hans"/>
        </w:rPr>
        <w:t>领导干部和业务人员数字素养和专业技能持续提升。</w:t>
      </w:r>
    </w:p>
    <w:p>
      <w:pPr>
        <w:pStyle w:val="15"/>
        <w:rPr>
          <w:rFonts w:hint="default" w:ascii="Times New Roman" w:hAnsi="Times New Roman" w:cs="Times New Roman"/>
          <w:lang w:eastAsia="zh-Hans"/>
        </w:rPr>
      </w:pPr>
    </w:p>
    <w:p>
      <w:pPr>
        <w:pStyle w:val="15"/>
        <w:ind w:left="1600" w:leftChars="200" w:hanging="960" w:hanging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附件：汕尾市城区数字政府改革建设“十四五”规划中期任务清单</w:t>
      </w:r>
    </w:p>
    <w:p>
      <w:pPr>
        <w:pStyle w:val="15"/>
        <w:rPr>
          <w:rFonts w:hint="default" w:ascii="Times New Roman" w:hAnsi="Times New Roman" w:cs="Times New Roman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+西文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星楷体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28378"/>
    <w:multiLevelType w:val="multilevel"/>
    <w:tmpl w:val="8BE28378"/>
    <w:lvl w:ilvl="0" w:tentative="0">
      <w:start w:val="1"/>
      <w:numFmt w:val="decimal"/>
      <w:pStyle w:val="35"/>
      <w:suff w:val="space"/>
      <w:lvlText w:val="一、%1"/>
      <w:lvlJc w:val="left"/>
      <w:pPr>
        <w:tabs>
          <w:tab w:val="left" w:pos="0"/>
        </w:tabs>
        <w:ind w:left="1134" w:hanging="1134"/>
      </w:pPr>
      <w:rPr>
        <w:rFonts w:hint="eastAsia" w:ascii="宋体" w:hAnsi="宋体" w:eastAsia="宋体" w:cs="宋体"/>
        <w:b w:val="0"/>
        <w:i w:val="0"/>
        <w:sz w:val="32"/>
      </w:rPr>
    </w:lvl>
    <w:lvl w:ilvl="1" w:tentative="0">
      <w:start w:val="1"/>
      <w:numFmt w:val="chineseCounting"/>
      <w:suff w:val="space"/>
      <w:lvlText w:val="（%2）"/>
      <w:lvlJc w:val="left"/>
      <w:pPr>
        <w:tabs>
          <w:tab w:val="left" w:pos="0"/>
        </w:tabs>
        <w:ind w:left="420" w:leftChars="0" w:hanging="420" w:firstLineChars="0"/>
      </w:pPr>
      <w:rPr>
        <w:rFonts w:hint="eastAsia" w:ascii="宋体" w:hAnsi="宋体" w:eastAsia="宋体" w:cs="宋体"/>
        <w:b w:val="0"/>
        <w:i w:val="0"/>
        <w:sz w:val="32"/>
        <w:szCs w:val="32"/>
        <w:lang w:val="en-US"/>
      </w:rPr>
    </w:lvl>
    <w:lvl w:ilvl="2" w:tentative="0">
      <w:start w:val="1"/>
      <w:numFmt w:val="decimal"/>
      <w:suff w:val="space"/>
      <w:lvlText w:val="%3."/>
      <w:lvlJc w:val="left"/>
      <w:pPr>
        <w:tabs>
          <w:tab w:val="left" w:pos="420"/>
        </w:tabs>
        <w:ind w:left="2127" w:hanging="2127"/>
      </w:pPr>
      <w:rPr>
        <w:rFonts w:hint="eastAsia" w:ascii="宋体" w:hAnsi="宋体" w:eastAsia="宋体" w:cs="+西文标题"/>
        <w:b/>
        <w:i w:val="0"/>
      </w:rPr>
    </w:lvl>
    <w:lvl w:ilvl="3" w:tentative="0">
      <w:start w:val="1"/>
      <w:numFmt w:val="none"/>
      <w:suff w:val="space"/>
      <w:lvlText w:val="1.1"/>
      <w:lvlJc w:val="left"/>
      <w:pPr>
        <w:tabs>
          <w:tab w:val="left" w:pos="420"/>
        </w:tabs>
        <w:ind w:left="2693" w:hanging="2693"/>
      </w:pPr>
      <w:rPr>
        <w:rFonts w:hint="eastAsia" w:ascii="宋体" w:hAnsi="宋体" w:eastAsia="宋体" w:cs="+西文标题"/>
        <w:sz w:val="32"/>
        <w:szCs w:val="28"/>
      </w:rPr>
    </w:lvl>
    <w:lvl w:ilvl="4" w:tentative="0">
      <w:start w:val="1"/>
      <w:numFmt w:val="none"/>
      <w:suff w:val="space"/>
      <w:lvlText w:val="1.1.1"/>
      <w:lvlJc w:val="left"/>
      <w:pPr>
        <w:tabs>
          <w:tab w:val="left" w:pos="420"/>
        </w:tabs>
        <w:ind w:left="3260" w:hanging="3260"/>
      </w:pPr>
      <w:rPr>
        <w:rFonts w:hint="eastAsia" w:ascii="宋体" w:hAnsi="宋体" w:eastAsia="宋体" w:cs="+西文标题"/>
        <w:sz w:val="32"/>
      </w:rPr>
    </w:lvl>
    <w:lvl w:ilvl="5" w:tentative="0">
      <w:start w:val="1"/>
      <w:numFmt w:val="none"/>
      <w:suff w:val="space"/>
      <w:lvlText w:val="1.1.1.1"/>
      <w:lvlJc w:val="left"/>
      <w:pPr>
        <w:tabs>
          <w:tab w:val="left" w:pos="420"/>
        </w:tabs>
        <w:ind w:left="3969" w:hanging="3969"/>
      </w:pPr>
      <w:rPr>
        <w:rFonts w:hint="eastAsia" w:ascii="宋体" w:hAnsi="宋体" w:eastAsia="宋体" w:cs="+西文标题"/>
        <w:sz w:val="32"/>
      </w:rPr>
    </w:lvl>
    <w:lvl w:ilvl="6" w:tentative="0">
      <w:start w:val="1"/>
      <w:numFmt w:val="none"/>
      <w:lvlText w:val="1.1.1.1.1"/>
      <w:lvlJc w:val="left"/>
      <w:pPr>
        <w:tabs>
          <w:tab w:val="left" w:pos="420"/>
        </w:tabs>
        <w:ind w:left="4536" w:hanging="4536"/>
      </w:pPr>
      <w:rPr>
        <w:rFonts w:hint="eastAsia" w:ascii="宋体" w:hAnsi="宋体" w:eastAsia="宋体" w:cs="+西文标题"/>
        <w:sz w:val="32"/>
      </w:rPr>
    </w:lvl>
    <w:lvl w:ilvl="7" w:tentative="0">
      <w:start w:val="1"/>
      <w:numFmt w:val="none"/>
      <w:suff w:val="space"/>
      <w:lvlText w:val="1.1.1.1.1"/>
      <w:lvlJc w:val="left"/>
      <w:pPr>
        <w:tabs>
          <w:tab w:val="left" w:pos="420"/>
        </w:tabs>
        <w:ind w:left="5103" w:hanging="5103"/>
      </w:pPr>
      <w:rPr>
        <w:rFonts w:hint="eastAsia" w:ascii="宋体" w:hAnsi="宋体" w:eastAsia="宋体" w:cs="+西文标题"/>
        <w:sz w:val="32"/>
      </w:rPr>
    </w:lvl>
    <w:lvl w:ilvl="8" w:tentative="0">
      <w:start w:val="1"/>
      <w:numFmt w:val="none"/>
      <w:suff w:val="space"/>
      <w:lvlText w:val="1.1.1.1.1.1.1"/>
      <w:lvlJc w:val="left"/>
      <w:pPr>
        <w:tabs>
          <w:tab w:val="left" w:pos="420"/>
        </w:tabs>
        <w:ind w:left="5811" w:hanging="5811"/>
      </w:pPr>
      <w:rPr>
        <w:rFonts w:hint="eastAsia" w:ascii="宋体" w:hAnsi="宋体" w:eastAsia="宋体" w:cs="+西文标题"/>
        <w:sz w:val="32"/>
      </w:rPr>
    </w:lvl>
  </w:abstractNum>
  <w:abstractNum w:abstractNumId="1">
    <w:nsid w:val="C2659F50"/>
    <w:multiLevelType w:val="singleLevel"/>
    <w:tmpl w:val="C2659F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F72E63C"/>
    <w:multiLevelType w:val="singleLevel"/>
    <w:tmpl w:val="DF72E6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EE89DB70"/>
    <w:multiLevelType w:val="singleLevel"/>
    <w:tmpl w:val="EE89DB7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DFA8835"/>
    <w:multiLevelType w:val="multilevel"/>
    <w:tmpl w:val="4DFA8835"/>
    <w:lvl w:ilvl="0" w:tentative="0">
      <w:start w:val="1"/>
      <w:numFmt w:val="chineseCounting"/>
      <w:pStyle w:val="2"/>
      <w:suff w:val="space"/>
      <w:lvlText w:val="%1、"/>
      <w:lvlJc w:val="left"/>
      <w:pPr>
        <w:tabs>
          <w:tab w:val="left" w:pos="0"/>
        </w:tabs>
        <w:ind w:left="420" w:leftChars="0" w:hanging="420" w:firstLineChars="0"/>
      </w:pPr>
      <w:rPr>
        <w:rFonts w:hint="eastAsia" w:ascii="Times New Roman" w:hAnsi="Times New Roman" w:eastAsia="黑体" w:cs="黑体"/>
        <w:b w:val="0"/>
        <w:i w:val="0"/>
        <w:sz w:val="32"/>
        <w:szCs w:val="32"/>
      </w:rPr>
    </w:lvl>
    <w:lvl w:ilvl="1" w:tentative="0">
      <w:start w:val="1"/>
      <w:numFmt w:val="chineseCounting"/>
      <w:pStyle w:val="4"/>
      <w:suff w:val="space"/>
      <w:lvlText w:val="（%2）"/>
      <w:lvlJc w:val="left"/>
      <w:pPr>
        <w:tabs>
          <w:tab w:val="left" w:pos="0"/>
        </w:tabs>
        <w:ind w:left="420" w:leftChars="0" w:hanging="420" w:firstLineChars="0"/>
      </w:pPr>
      <w:rPr>
        <w:rFonts w:hint="eastAsia" w:ascii="楷体_GB2312" w:hAnsi="楷体_GB2312" w:eastAsia="楷体_GB2312" w:cs="楷体_GB2312"/>
        <w:b w:val="0"/>
        <w:i w:val="0"/>
        <w:sz w:val="32"/>
        <w:szCs w:val="32"/>
        <w:lang w:val="en-US"/>
      </w:rPr>
    </w:lvl>
    <w:lvl w:ilvl="2" w:tentative="0">
      <w:start w:val="1"/>
      <w:numFmt w:val="decimal"/>
      <w:pStyle w:val="3"/>
      <w:suff w:val="space"/>
      <w:lvlText w:val="%3."/>
      <w:lvlJc w:val="left"/>
      <w:pPr>
        <w:tabs>
          <w:tab w:val="left" w:pos="420"/>
        </w:tabs>
        <w:ind w:left="420" w:leftChars="0" w:hanging="420" w:firstLineChars="0"/>
      </w:pPr>
      <w:rPr>
        <w:rFonts w:hint="eastAsia" w:ascii="Times New Roman" w:hAnsi="Times New Roman" w:eastAsia="黑体" w:cs="黑体"/>
        <w:b w:val="0"/>
        <w:i w:val="0"/>
        <w:sz w:val="32"/>
        <w:szCs w:val="32"/>
      </w:rPr>
    </w:lvl>
    <w:lvl w:ilvl="3" w:tentative="0">
      <w:start w:val="1"/>
      <w:numFmt w:val="decimal"/>
      <w:pStyle w:val="5"/>
      <w:suff w:val="space"/>
      <w:lvlText w:val="(%4)"/>
      <w:lvlJc w:val="left"/>
      <w:pPr>
        <w:tabs>
          <w:tab w:val="left" w:pos="0"/>
        </w:tabs>
        <w:ind w:left="420" w:leftChars="0" w:hanging="420" w:firstLineChars="0"/>
      </w:pPr>
      <w:rPr>
        <w:rFonts w:hint="eastAsia" w:ascii="仿宋_GB2312" w:hAnsi="仿宋_GB2312" w:eastAsia="仿宋_GB2312" w:cs="仿宋_GB2312"/>
        <w:b w:val="0"/>
        <w:bCs w:val="0"/>
        <w:sz w:val="32"/>
        <w:szCs w:val="28"/>
      </w:rPr>
    </w:lvl>
    <w:lvl w:ilvl="4" w:tentative="0">
      <w:start w:val="1"/>
      <w:numFmt w:val="decimal"/>
      <w:pStyle w:val="6"/>
      <w:suff w:val="space"/>
      <w:lvlText w:val="%5)"/>
      <w:lvlJc w:val="left"/>
      <w:pPr>
        <w:tabs>
          <w:tab w:val="left" w:pos="420"/>
        </w:tabs>
        <w:ind w:left="420" w:leftChars="0" w:hanging="420" w:firstLineChars="0"/>
      </w:pPr>
      <w:rPr>
        <w:rFonts w:hint="eastAsia" w:ascii="Times New Roman" w:hAnsi="Times New Roman" w:eastAsia="KaiTi_GB2312" w:cs="KaiTi_GB2312"/>
        <w:sz w:val="32"/>
        <w:szCs w:val="32"/>
      </w:rPr>
    </w:lvl>
    <w:lvl w:ilvl="5" w:tentative="0">
      <w:start w:val="1"/>
      <w:numFmt w:val="none"/>
      <w:pStyle w:val="7"/>
      <w:suff w:val="space"/>
      <w:lvlText w:val="1.1.1.1"/>
      <w:lvlJc w:val="left"/>
      <w:pPr>
        <w:tabs>
          <w:tab w:val="left" w:pos="420"/>
        </w:tabs>
        <w:ind w:left="3969" w:hanging="3969"/>
      </w:pPr>
      <w:rPr>
        <w:rFonts w:hint="eastAsia" w:ascii="宋体" w:hAnsi="宋体" w:eastAsia="宋体" w:cs="+西文标题"/>
        <w:sz w:val="32"/>
      </w:rPr>
    </w:lvl>
    <w:lvl w:ilvl="6" w:tentative="0">
      <w:start w:val="1"/>
      <w:numFmt w:val="none"/>
      <w:pStyle w:val="8"/>
      <w:lvlText w:val="1.1.1.1.1"/>
      <w:lvlJc w:val="left"/>
      <w:pPr>
        <w:tabs>
          <w:tab w:val="left" w:pos="420"/>
        </w:tabs>
        <w:ind w:left="4536" w:hanging="4536"/>
      </w:pPr>
      <w:rPr>
        <w:rFonts w:hint="eastAsia" w:ascii="宋体" w:hAnsi="宋体" w:eastAsia="宋体" w:cs="+西文标题"/>
        <w:sz w:val="32"/>
      </w:rPr>
    </w:lvl>
    <w:lvl w:ilvl="7" w:tentative="0">
      <w:start w:val="1"/>
      <w:numFmt w:val="none"/>
      <w:suff w:val="space"/>
      <w:lvlText w:val="1.1.1.1.1"/>
      <w:lvlJc w:val="left"/>
      <w:pPr>
        <w:tabs>
          <w:tab w:val="left" w:pos="420"/>
        </w:tabs>
        <w:ind w:left="5103" w:hanging="5103"/>
      </w:pPr>
      <w:rPr>
        <w:rFonts w:hint="eastAsia" w:ascii="宋体" w:hAnsi="宋体" w:eastAsia="宋体" w:cs="+西文标题"/>
        <w:sz w:val="32"/>
      </w:rPr>
    </w:lvl>
    <w:lvl w:ilvl="8" w:tentative="0">
      <w:start w:val="1"/>
      <w:numFmt w:val="none"/>
      <w:pStyle w:val="9"/>
      <w:suff w:val="space"/>
      <w:lvlText w:val="1.1.1.1.1.1.1"/>
      <w:lvlJc w:val="left"/>
      <w:pPr>
        <w:tabs>
          <w:tab w:val="left" w:pos="420"/>
        </w:tabs>
        <w:ind w:left="5811" w:hanging="5811"/>
      </w:pPr>
      <w:rPr>
        <w:rFonts w:hint="eastAsia" w:ascii="宋体" w:hAnsi="宋体" w:eastAsia="宋体" w:cs="+西文标题"/>
        <w:sz w:val="32"/>
      </w:rPr>
    </w:lvl>
  </w:abstractNum>
  <w:abstractNum w:abstractNumId="5">
    <w:nsid w:val="62206944"/>
    <w:multiLevelType w:val="multilevel"/>
    <w:tmpl w:val="62206944"/>
    <w:lvl w:ilvl="0" w:tentative="0">
      <w:start w:val="1"/>
      <w:numFmt w:val="chineseCountingThousand"/>
      <w:suff w:val="nothing"/>
      <w:lvlText w:val="%1、"/>
      <w:lvlJc w:val="left"/>
      <w:pPr>
        <w:ind w:left="1134" w:hanging="425"/>
      </w:pPr>
      <w:rPr>
        <w:rFonts w:hint="eastAsia" w:ascii="Times New Roman" w:hAnsi="Times New Roman" w:eastAsia="黑体"/>
        <w:b w:val="0"/>
        <w:i w:val="0"/>
      </w:rPr>
    </w:lvl>
    <w:lvl w:ilvl="1" w:tentative="0">
      <w:start w:val="1"/>
      <w:numFmt w:val="chineseCountingThousand"/>
      <w:pStyle w:val="33"/>
      <w:suff w:val="nothing"/>
      <w:lvlText w:val="（%2）"/>
      <w:lvlJc w:val="left"/>
      <w:pPr>
        <w:ind w:left="3686" w:hanging="567"/>
      </w:pPr>
      <w:rPr>
        <w:rFonts w:hint="eastAsia" w:ascii="Times New Roman" w:hAnsi="Times New Roman" w:eastAsia="楷体_GB2312"/>
        <w:b w:val="0"/>
        <w:i w:val="0"/>
        <w:lang w:val="en-US"/>
      </w:rPr>
    </w:lvl>
    <w:lvl w:ilvl="2" w:tentative="0">
      <w:start w:val="1"/>
      <w:numFmt w:val="decimal"/>
      <w:suff w:val="nothing"/>
      <w:lvlText w:val="%3."/>
      <w:lvlJc w:val="left"/>
      <w:pPr>
        <w:ind w:left="2127" w:hanging="567"/>
      </w:pPr>
      <w:rPr>
        <w:rFonts w:hint="eastAsia" w:ascii="Times New Roman" w:hAnsi="Times New Roman" w:eastAsia="仿宋_GB2312"/>
        <w:b/>
        <w:i w:val="0"/>
      </w:rPr>
    </w:lvl>
    <w:lvl w:ilvl="3" w:tentative="0">
      <w:start w:val="1"/>
      <w:numFmt w:val="decimal"/>
      <w:lvlText w:val="%1.%2.%3.%4"/>
      <w:lvlJc w:val="left"/>
      <w:pPr>
        <w:ind w:left="2693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3260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969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53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5103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811" w:hanging="1700"/>
      </w:pPr>
      <w:rPr>
        <w:rFonts w:hint="eastAsia"/>
      </w:rPr>
    </w:lvl>
  </w:abstractNum>
  <w:abstractNum w:abstractNumId="6">
    <w:nsid w:val="63317ECA"/>
    <w:multiLevelType w:val="singleLevel"/>
    <w:tmpl w:val="63317EC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63F7F172"/>
    <w:multiLevelType w:val="singleLevel"/>
    <w:tmpl w:val="63F7F1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941C5F8"/>
    <w:multiLevelType w:val="singleLevel"/>
    <w:tmpl w:val="7941C5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jU1ODA2ZTIwNjc0Mzc0ZDAwNGVkOTkzOTU0NzgifQ=="/>
  </w:docVars>
  <w:rsids>
    <w:rsidRoot w:val="00172A27"/>
    <w:rsid w:val="001F6E36"/>
    <w:rsid w:val="003568DA"/>
    <w:rsid w:val="0104694E"/>
    <w:rsid w:val="01763287"/>
    <w:rsid w:val="01F146C6"/>
    <w:rsid w:val="02E80BF5"/>
    <w:rsid w:val="045327FE"/>
    <w:rsid w:val="04E25012"/>
    <w:rsid w:val="05633387"/>
    <w:rsid w:val="05DC7A41"/>
    <w:rsid w:val="06803A77"/>
    <w:rsid w:val="06845B59"/>
    <w:rsid w:val="07A456AF"/>
    <w:rsid w:val="08DA4C52"/>
    <w:rsid w:val="08E52C52"/>
    <w:rsid w:val="08F602B3"/>
    <w:rsid w:val="0B8062D7"/>
    <w:rsid w:val="0C114DFA"/>
    <w:rsid w:val="0C81787C"/>
    <w:rsid w:val="0DA1570B"/>
    <w:rsid w:val="0E550017"/>
    <w:rsid w:val="0F0526AE"/>
    <w:rsid w:val="10106B20"/>
    <w:rsid w:val="1198489F"/>
    <w:rsid w:val="119B3020"/>
    <w:rsid w:val="11EE4D0F"/>
    <w:rsid w:val="12154D3D"/>
    <w:rsid w:val="12C85CA7"/>
    <w:rsid w:val="12FE30D8"/>
    <w:rsid w:val="13BF7495"/>
    <w:rsid w:val="145C4228"/>
    <w:rsid w:val="14700B55"/>
    <w:rsid w:val="14CF1B1B"/>
    <w:rsid w:val="155242AA"/>
    <w:rsid w:val="159A78A7"/>
    <w:rsid w:val="16CB1AC7"/>
    <w:rsid w:val="1A2C61B4"/>
    <w:rsid w:val="1B5B5EB7"/>
    <w:rsid w:val="1B973DB4"/>
    <w:rsid w:val="1D252670"/>
    <w:rsid w:val="1EF17EDD"/>
    <w:rsid w:val="1F394A0B"/>
    <w:rsid w:val="1F590291"/>
    <w:rsid w:val="1FF46874"/>
    <w:rsid w:val="20583B2B"/>
    <w:rsid w:val="25D3309D"/>
    <w:rsid w:val="264A7061"/>
    <w:rsid w:val="26E536E9"/>
    <w:rsid w:val="27DA59E1"/>
    <w:rsid w:val="2982045E"/>
    <w:rsid w:val="29AA23E9"/>
    <w:rsid w:val="2A5302BF"/>
    <w:rsid w:val="2A9A29B2"/>
    <w:rsid w:val="2C160419"/>
    <w:rsid w:val="2C4F3E93"/>
    <w:rsid w:val="2C5E5E1C"/>
    <w:rsid w:val="2D497276"/>
    <w:rsid w:val="2DCD0847"/>
    <w:rsid w:val="2F0E7EE0"/>
    <w:rsid w:val="2F8131CD"/>
    <w:rsid w:val="2FC64599"/>
    <w:rsid w:val="356263B6"/>
    <w:rsid w:val="35F74A06"/>
    <w:rsid w:val="37415BB0"/>
    <w:rsid w:val="3B3913B4"/>
    <w:rsid w:val="3B3E1417"/>
    <w:rsid w:val="3DDA3724"/>
    <w:rsid w:val="3E316427"/>
    <w:rsid w:val="3EC930C3"/>
    <w:rsid w:val="3F6324F5"/>
    <w:rsid w:val="41112D14"/>
    <w:rsid w:val="441906BB"/>
    <w:rsid w:val="443E2EF8"/>
    <w:rsid w:val="44880488"/>
    <w:rsid w:val="477B13FA"/>
    <w:rsid w:val="4AD7732D"/>
    <w:rsid w:val="4B530C16"/>
    <w:rsid w:val="4C00342C"/>
    <w:rsid w:val="4C772E13"/>
    <w:rsid w:val="4CF047D9"/>
    <w:rsid w:val="4D995EFA"/>
    <w:rsid w:val="4D9C03E1"/>
    <w:rsid w:val="4E073314"/>
    <w:rsid w:val="4F47A723"/>
    <w:rsid w:val="500E0F84"/>
    <w:rsid w:val="50550CD8"/>
    <w:rsid w:val="51725E8C"/>
    <w:rsid w:val="51771564"/>
    <w:rsid w:val="518C5C55"/>
    <w:rsid w:val="5205347E"/>
    <w:rsid w:val="526D6540"/>
    <w:rsid w:val="53366B5A"/>
    <w:rsid w:val="53423DF9"/>
    <w:rsid w:val="54A760B9"/>
    <w:rsid w:val="54B031A3"/>
    <w:rsid w:val="5628665A"/>
    <w:rsid w:val="57E636DB"/>
    <w:rsid w:val="57F7280A"/>
    <w:rsid w:val="58AF59EC"/>
    <w:rsid w:val="58FB163A"/>
    <w:rsid w:val="59907ADB"/>
    <w:rsid w:val="5A20012B"/>
    <w:rsid w:val="5AB36774"/>
    <w:rsid w:val="5B4A6A91"/>
    <w:rsid w:val="5B626655"/>
    <w:rsid w:val="5B6A2D48"/>
    <w:rsid w:val="5B9610A7"/>
    <w:rsid w:val="5C6642B5"/>
    <w:rsid w:val="5D93743A"/>
    <w:rsid w:val="5DA55DEC"/>
    <w:rsid w:val="5E4036A3"/>
    <w:rsid w:val="5FBBEB5D"/>
    <w:rsid w:val="601956D9"/>
    <w:rsid w:val="60DF7880"/>
    <w:rsid w:val="610B15D8"/>
    <w:rsid w:val="626907BE"/>
    <w:rsid w:val="62F775CE"/>
    <w:rsid w:val="63250391"/>
    <w:rsid w:val="63C065C4"/>
    <w:rsid w:val="63E65567"/>
    <w:rsid w:val="64E114B7"/>
    <w:rsid w:val="67087470"/>
    <w:rsid w:val="69C16296"/>
    <w:rsid w:val="6A3779E0"/>
    <w:rsid w:val="6C960442"/>
    <w:rsid w:val="6CAE5AE9"/>
    <w:rsid w:val="6CE547B7"/>
    <w:rsid w:val="6D0275BC"/>
    <w:rsid w:val="6EE94187"/>
    <w:rsid w:val="702C0E86"/>
    <w:rsid w:val="71854A38"/>
    <w:rsid w:val="72C764E9"/>
    <w:rsid w:val="752947D9"/>
    <w:rsid w:val="76C857FA"/>
    <w:rsid w:val="77512198"/>
    <w:rsid w:val="77C9010A"/>
    <w:rsid w:val="78CE55C6"/>
    <w:rsid w:val="79AF29F3"/>
    <w:rsid w:val="7AA15FB4"/>
    <w:rsid w:val="7C712295"/>
    <w:rsid w:val="7D2E2ECC"/>
    <w:rsid w:val="7E112A6D"/>
    <w:rsid w:val="7E1E0D19"/>
    <w:rsid w:val="7E947085"/>
    <w:rsid w:val="7F7752C5"/>
    <w:rsid w:val="7FD1473E"/>
    <w:rsid w:val="7FFE43B0"/>
    <w:rsid w:val="B7F29BEF"/>
    <w:rsid w:val="BFE71E7D"/>
    <w:rsid w:val="DFFF8287"/>
    <w:rsid w:val="EFFDBF0C"/>
    <w:rsid w:val="F7D7C40C"/>
    <w:rsid w:val="FBBF1CA6"/>
    <w:rsid w:val="FDE95AAF"/>
    <w:rsid w:val="FE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FangSong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Lines="0" w:beforeAutospacing="0" w:afterLines="0" w:afterAutospacing="0" w:line="360" w:lineRule="auto"/>
      <w:ind w:left="420" w:hanging="420" w:firstLineChars="0"/>
      <w:jc w:val="left"/>
      <w:outlineLvl w:val="0"/>
    </w:pPr>
    <w:rPr>
      <w:rFonts w:ascii="Times New Roman" w:hAnsi="Times New Roman" w:eastAsia="Heiti SC Medium"/>
      <w:kern w:val="44"/>
    </w:rPr>
  </w:style>
  <w:style w:type="paragraph" w:styleId="4">
    <w:name w:val="heading 2"/>
    <w:basedOn w:val="1"/>
    <w:next w:val="1"/>
    <w:link w:val="32"/>
    <w:unhideWhenUsed/>
    <w:qFormat/>
    <w:uiPriority w:val="0"/>
    <w:pPr>
      <w:numPr>
        <w:ilvl w:val="1"/>
        <w:numId w:val="1"/>
      </w:numPr>
      <w:spacing w:before="10" w:after="10"/>
      <w:ind w:left="420" w:hanging="420" w:firstLineChars="0"/>
      <w:outlineLvl w:val="1"/>
    </w:pPr>
    <w:rPr>
      <w:rFonts w:eastAsia="KaiTi_GB2312" w:asciiTheme="majorAscii" w:hAnsiTheme="majorAscii" w:cstheme="majorBidi"/>
      <w:bCs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420" w:hanging="420" w:firstLineChars="0"/>
      <w:outlineLvl w:val="2"/>
    </w:pPr>
    <w:rPr>
      <w:rFonts w:ascii="Times New Roman" w:hAnsi="Times New Roman"/>
      <w:b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numPr>
        <w:ilvl w:val="3"/>
        <w:numId w:val="1"/>
      </w:numPr>
      <w:tabs>
        <w:tab w:val="left" w:pos="420"/>
        <w:tab w:val="clear" w:pos="0"/>
      </w:tabs>
      <w:spacing w:beforeLines="0" w:beforeAutospacing="0" w:afterLines="0" w:afterAutospacing="0" w:line="560" w:lineRule="exact"/>
      <w:ind w:left="420" w:hanging="420" w:firstLineChars="0"/>
      <w:outlineLvl w:val="3"/>
    </w:pPr>
    <w:rPr>
      <w:rFonts w:ascii="DejaVu Sans" w:hAnsi="DejaVu Sans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560" w:lineRule="exact"/>
      <w:ind w:left="0" w:firstLine="640" w:firstLineChars="200"/>
      <w:outlineLvl w:val="4"/>
    </w:pPr>
    <w:rPr>
      <w:rFonts w:ascii="Times New Roman" w:hAnsi="Times New Roman" w:eastAsia="KaiTi_GB2312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3969" w:hanging="3969" w:firstLineChars="0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4536" w:hanging="4536" w:firstLineChars="0"/>
      <w:outlineLvl w:val="6"/>
    </w:pPr>
    <w:rPr>
      <w:b/>
      <w:sz w:val="24"/>
    </w:rPr>
  </w:style>
  <w:style w:type="paragraph" w:styleId="9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5811" w:hanging="5811" w:firstLineChars="0"/>
      <w:outlineLvl w:val="8"/>
    </w:pPr>
    <w:rPr>
      <w:rFonts w:ascii="DejaVu Sans" w:hAnsi="DejaVu Sans" w:eastAsia="方正黑体_GBK"/>
      <w:sz w:val="21"/>
    </w:rPr>
  </w:style>
  <w:style w:type="character" w:default="1" w:styleId="28">
    <w:name w:val="Default Paragraph Font"/>
    <w:unhideWhenUsed/>
    <w:qFormat/>
    <w:uiPriority w:val="1"/>
  </w:style>
  <w:style w:type="table" w:default="1" w:styleId="2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next w:val="11"/>
    <w:qFormat/>
    <w:uiPriority w:val="0"/>
    <w:pPr>
      <w:ind w:firstLine="420" w:firstLineChars="200"/>
    </w:pPr>
  </w:style>
  <w:style w:type="paragraph" w:customStyle="1" w:styleId="11">
    <w:name w:val="明显引用1"/>
    <w:basedOn w:val="1"/>
    <w:next w:val="1"/>
    <w:qFormat/>
    <w:uiPriority w:val="0"/>
    <w:pPr>
      <w:widowControl/>
      <w:wordWrap w:val="0"/>
      <w:spacing w:before="360" w:after="360"/>
      <w:ind w:left="950" w:right="950"/>
      <w:jc w:val="center"/>
    </w:pPr>
    <w:rPr>
      <w:rFonts w:ascii="Calibri" w:hAnsi="Calibri" w:eastAsia="宋体" w:cs="宋体"/>
      <w:i/>
      <w:iCs/>
      <w:kern w:val="0"/>
    </w:rPr>
  </w:style>
  <w:style w:type="paragraph" w:styleId="1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basedOn w:val="1"/>
    <w:next w:val="15"/>
    <w:qFormat/>
    <w:uiPriority w:val="0"/>
    <w:pPr>
      <w:spacing w:after="120"/>
    </w:pPr>
  </w:style>
  <w:style w:type="paragraph" w:customStyle="1" w:styleId="15">
    <w:name w:val="Default"/>
    <w:basedOn w:val="1"/>
    <w:qFormat/>
    <w:uiPriority w:val="0"/>
    <w:pPr>
      <w:widowControl/>
      <w:autoSpaceDE w:val="0"/>
      <w:autoSpaceDN w:val="0"/>
      <w:jc w:val="left"/>
      <w:textAlignment w:val="baseline"/>
    </w:pPr>
    <w:rPr>
      <w:rFonts w:ascii="宋体" w:hAnsi="宋体" w:cs="黑体"/>
      <w:color w:val="000000"/>
      <w:kern w:val="0"/>
      <w:sz w:val="24"/>
    </w:rPr>
  </w:style>
  <w:style w:type="paragraph" w:styleId="1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7">
    <w:name w:val="toc 3"/>
    <w:basedOn w:val="1"/>
    <w:next w:val="1"/>
    <w:qFormat/>
    <w:uiPriority w:val="0"/>
    <w:pPr>
      <w:ind w:left="840" w:leftChars="400"/>
    </w:pPr>
  </w:style>
  <w:style w:type="paragraph" w:styleId="18">
    <w:name w:val="Plain Text"/>
    <w:basedOn w:val="1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19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2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640" w:leftChars="200" w:firstLine="0" w:firstLineChars="0"/>
    </w:pPr>
  </w:style>
  <w:style w:type="paragraph" w:styleId="2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2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5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/>
      <w:b/>
      <w:sz w:val="32"/>
    </w:rPr>
  </w:style>
  <w:style w:type="paragraph" w:styleId="26">
    <w:name w:val="Body Text First Indent 2"/>
    <w:basedOn w:val="1"/>
    <w:next w:val="1"/>
    <w:qFormat/>
    <w:uiPriority w:val="0"/>
    <w:pPr>
      <w:ind w:firstLine="420" w:firstLineChars="200"/>
    </w:pPr>
  </w:style>
  <w:style w:type="character" w:styleId="29">
    <w:name w:val="Strong"/>
    <w:basedOn w:val="28"/>
    <w:qFormat/>
    <w:uiPriority w:val="0"/>
    <w:rPr>
      <w:b/>
    </w:rPr>
  </w:style>
  <w:style w:type="character" w:styleId="30">
    <w:name w:val="Emphasis"/>
    <w:qFormat/>
    <w:uiPriority w:val="0"/>
    <w:rPr>
      <w:i/>
    </w:rPr>
  </w:style>
  <w:style w:type="character" w:styleId="31">
    <w:name w:val="annotation reference"/>
    <w:basedOn w:val="28"/>
    <w:qFormat/>
    <w:uiPriority w:val="0"/>
    <w:rPr>
      <w:sz w:val="21"/>
      <w:szCs w:val="21"/>
    </w:rPr>
  </w:style>
  <w:style w:type="character" w:customStyle="1" w:styleId="32">
    <w:name w:val="标题 2 字符"/>
    <w:basedOn w:val="28"/>
    <w:link w:val="4"/>
    <w:qFormat/>
    <w:uiPriority w:val="9"/>
    <w:rPr>
      <w:rFonts w:eastAsia="KaiTi_GB2312" w:asciiTheme="majorAscii" w:hAnsiTheme="majorAscii" w:cstheme="majorBidi"/>
      <w:bCs/>
      <w:kern w:val="2"/>
      <w:sz w:val="32"/>
      <w:szCs w:val="32"/>
    </w:rPr>
  </w:style>
  <w:style w:type="paragraph" w:customStyle="1" w:styleId="33">
    <w:name w:val="二级标题"/>
    <w:basedOn w:val="4"/>
    <w:qFormat/>
    <w:uiPriority w:val="0"/>
    <w:pPr>
      <w:numPr>
        <w:ilvl w:val="1"/>
        <w:numId w:val="2"/>
      </w:numPr>
      <w:spacing w:line="360" w:lineRule="auto"/>
      <w:jc w:val="left"/>
    </w:pPr>
    <w:rPr>
      <w:rFonts w:eastAsia="楷体_GB2312" w:asciiTheme="majorAscii" w:hAnsiTheme="majorAscii" w:cstheme="majorBidi"/>
      <w:sz w:val="36"/>
      <w:szCs w:val="32"/>
    </w:rPr>
  </w:style>
  <w:style w:type="paragraph" w:customStyle="1" w:styleId="34">
    <w:name w:val="Normal Indent1"/>
    <w:basedOn w:val="1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5">
    <w:name w:val="论文-样式1"/>
    <w:basedOn w:val="2"/>
    <w:qFormat/>
    <w:uiPriority w:val="0"/>
    <w:pPr>
      <w:numPr>
        <w:numId w:val="3"/>
      </w:numPr>
    </w:pPr>
  </w:style>
  <w:style w:type="paragraph" w:customStyle="1" w:styleId="36">
    <w:name w:val="文件正文"/>
    <w:basedOn w:val="1"/>
    <w:qFormat/>
    <w:uiPriority w:val="0"/>
    <w:rPr>
      <w:rFonts w:eastAsia="仿宋_GB2312" w:asciiTheme="minorAscii" w:hAnsiTheme="minorAscii"/>
      <w:sz w:val="32"/>
    </w:rPr>
  </w:style>
  <w:style w:type="paragraph" w:customStyle="1" w:styleId="37">
    <w:name w:val="TOC2"/>
    <w:basedOn w:val="1"/>
    <w:next w:val="1"/>
    <w:qFormat/>
    <w:uiPriority w:val="0"/>
    <w:pPr>
      <w:ind w:left="420" w:leftChars="200"/>
      <w:jc w:val="both"/>
      <w:textAlignment w:val="baseline"/>
    </w:pPr>
  </w:style>
  <w:style w:type="paragraph" w:customStyle="1" w:styleId="38">
    <w:name w:val="规划正文"/>
    <w:basedOn w:val="1"/>
    <w:qFormat/>
    <w:uiPriority w:val="0"/>
    <w:pPr>
      <w:spacing w:line="360" w:lineRule="auto"/>
    </w:pPr>
    <w:rPr>
      <w:szCs w:val="32"/>
    </w:rPr>
  </w:style>
  <w:style w:type="paragraph" w:customStyle="1" w:styleId="3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43">
    <w:name w:val="正文缩进1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customStyle="1" w:styleId="4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14711</Words>
  <Characters>15225</Characters>
  <Lines>0</Lines>
  <Paragraphs>0</Paragraphs>
  <TotalTime>79</TotalTime>
  <ScaleCrop>false</ScaleCrop>
  <LinksUpToDate>false</LinksUpToDate>
  <CharactersWithSpaces>16104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2023-07-31T10:30:00Z</dcterms:created>
  <dc:creator>伊晴</dc:creator>
  <cp:lastModifiedBy>Admin</cp:lastModifiedBy>
  <cp:lastPrinted>2024-01-03T04:08:00Z</cp:lastPrinted>
  <dcterms:modified xsi:type="dcterms:W3CDTF">2024-04-07T07:08:39Z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9BEC1849E221476F983F859E7E2D7441_13</vt:lpwstr>
  </property>
</Properties>
</file>