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p>
    <w:p>
      <w:pPr>
        <w:pStyle w:val="3"/>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pStyle w:val="3"/>
        <w:rPr>
          <w:rFonts w:hint="eastAsia"/>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黑体" w:hAnsi="黑体" w:eastAsia="黑体" w:cs="黑体"/>
          <w:sz w:val="40"/>
          <w:szCs w:val="40"/>
          <w:highlight w:val="none"/>
          <w:lang w:eastAsia="zh-CN"/>
        </w:rPr>
      </w:pPr>
      <w:r>
        <w:rPr>
          <w:rFonts w:hint="eastAsia" w:ascii="黑体" w:hAnsi="黑体" w:eastAsia="黑体" w:cs="黑体"/>
          <w:sz w:val="40"/>
          <w:szCs w:val="40"/>
          <w:highlight w:val="none"/>
          <w:lang w:eastAsia="zh-CN"/>
        </w:rPr>
        <w:t>汕尾市城区东片区城镇老旧小区改造项目</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黑体" w:hAnsi="黑体" w:eastAsia="黑体" w:cs="黑体"/>
          <w:sz w:val="40"/>
          <w:szCs w:val="40"/>
          <w:highlight w:val="none"/>
          <w:lang w:eastAsia="zh-CN"/>
        </w:rPr>
      </w:pPr>
      <w:r>
        <w:rPr>
          <w:rFonts w:hint="eastAsia" w:ascii="黑体" w:hAnsi="黑体" w:eastAsia="黑体" w:cs="黑体"/>
          <w:sz w:val="40"/>
          <w:szCs w:val="40"/>
          <w:highlight w:val="none"/>
          <w:lang w:eastAsia="zh-CN"/>
        </w:rPr>
        <w:t>捷胜辖区内房屋征拆补偿方案</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36"/>
          <w:szCs w:val="36"/>
          <w:highlight w:val="none"/>
        </w:rPr>
      </w:pPr>
      <w:r>
        <w:rPr>
          <w:rFonts w:hint="eastAsia" w:ascii="仿宋" w:hAnsi="仿宋" w:eastAsia="仿宋" w:cs="仿宋"/>
          <w:b w:val="0"/>
          <w:bCs w:val="0"/>
          <w:sz w:val="36"/>
          <w:szCs w:val="36"/>
          <w:highlight w:val="none"/>
          <w:lang w:val="en-US" w:eastAsia="zh-CN"/>
        </w:rPr>
        <w:t>(征求意见稿)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仿宋" w:hAnsi="仿宋" w:eastAsia="仿宋" w:cs="仿宋"/>
          <w:sz w:val="32"/>
          <w:szCs w:val="32"/>
          <w:highlight w:val="none"/>
          <w:lang w:val="en-US"/>
        </w:rPr>
      </w:pPr>
      <w:r>
        <w:rPr>
          <w:rFonts w:hint="default" w:ascii="仿宋" w:hAnsi="仿宋" w:eastAsia="仿宋" w:cs="仿宋"/>
          <w:sz w:val="32"/>
          <w:szCs w:val="32"/>
          <w:highlight w:val="none"/>
          <w:lang w:val="en-US"/>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p>
    <w:p>
      <w:pPr>
        <w:pStyle w:val="3"/>
        <w:ind w:left="0" w:leftChars="0" w:firstLine="0" w:firstLineChars="0"/>
        <w:rPr>
          <w:rFonts w:hint="eastAsia" w:ascii="仿宋" w:hAnsi="仿宋" w:eastAsia="仿宋" w:cs="仿宋"/>
          <w:sz w:val="32"/>
          <w:szCs w:val="32"/>
          <w:highlight w:val="none"/>
        </w:rPr>
      </w:pPr>
    </w:p>
    <w:p>
      <w:pPr>
        <w:rPr>
          <w:rFonts w:hint="eastAsia"/>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center"/>
        <w:textAlignment w:val="baseline"/>
        <w:rPr>
          <w:rFonts w:hint="eastAsia" w:ascii="黑体" w:hAnsi="黑体" w:eastAsia="黑体" w:cs="黑体"/>
          <w:sz w:val="32"/>
          <w:szCs w:val="32"/>
          <w:highlight w:val="none"/>
        </w:rPr>
      </w:pPr>
      <w:r>
        <w:rPr>
          <w:rFonts w:hint="eastAsia" w:ascii="黑体" w:hAnsi="黑体" w:eastAsia="黑体" w:cs="黑体"/>
          <w:sz w:val="32"/>
          <w:szCs w:val="32"/>
          <w:highlight w:val="none"/>
        </w:rPr>
        <w:t>汕尾市城区人民政府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center"/>
        <w:textAlignment w:val="baseline"/>
        <w:rPr>
          <w:rFonts w:hint="default" w:ascii="黑体" w:hAnsi="黑体" w:eastAsia="黑体" w:cs="黑体"/>
          <w:sz w:val="32"/>
          <w:szCs w:val="32"/>
          <w:highlight w:val="none"/>
          <w:lang w:val="en-US" w:eastAsia="zh-CN"/>
        </w:rPr>
        <w:sectPr>
          <w:headerReference r:id="rId3" w:type="default"/>
          <w:pgSz w:w="11900" w:h="16900"/>
          <w:pgMar w:top="1253" w:right="1157" w:bottom="1293" w:left="1355" w:header="0" w:footer="799" w:gutter="0"/>
          <w:pgNumType w:fmt="numberInDash" w:start="1"/>
          <w:cols w:space="0" w:num="1"/>
          <w:rtlGutter w:val="0"/>
          <w:docGrid w:linePitch="0" w:charSpace="0"/>
        </w:sectPr>
      </w:pPr>
      <w:r>
        <w:rPr>
          <w:rFonts w:hint="eastAsia" w:ascii="黑体" w:hAnsi="黑体" w:eastAsia="黑体" w:cs="黑体"/>
          <w:sz w:val="32"/>
          <w:szCs w:val="32"/>
          <w:highlight w:val="none"/>
          <w:lang w:eastAsia="zh-CN"/>
        </w:rPr>
        <w:t>二○二二</w:t>
      </w:r>
      <w:r>
        <w:rPr>
          <w:rFonts w:hint="eastAsia" w:ascii="黑体" w:hAnsi="黑体" w:eastAsia="黑体" w:cs="黑体"/>
          <w:sz w:val="32"/>
          <w:szCs w:val="32"/>
          <w:highlight w:val="none"/>
        </w:rPr>
        <w:t>年</w:t>
      </w:r>
      <w:r>
        <w:rPr>
          <w:rFonts w:hint="eastAsia" w:ascii="黑体" w:hAnsi="黑体" w:eastAsia="黑体" w:cs="黑体"/>
          <w:sz w:val="32"/>
          <w:szCs w:val="32"/>
          <w:highlight w:val="none"/>
          <w:lang w:val="en-US" w:eastAsia="zh-CN"/>
        </w:rPr>
        <w:t>八月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center"/>
        <w:rPr>
          <w:rFonts w:hint="eastAsia" w:ascii="黑体" w:hAnsi="黑体" w:eastAsia="黑体" w:cs="黑体"/>
          <w:i w:val="0"/>
          <w:iCs w:val="0"/>
          <w:caps w:val="0"/>
          <w:color w:val="333333"/>
          <w:spacing w:val="0"/>
          <w:kern w:val="0"/>
          <w:sz w:val="36"/>
          <w:szCs w:val="36"/>
          <w:shd w:val="clear" w:fill="FFFFFF"/>
          <w:lang w:val="en-US" w:eastAsia="zh-CN" w:bidi="ar"/>
        </w:rPr>
      </w:pPr>
      <w:r>
        <w:rPr>
          <w:rFonts w:hint="eastAsia" w:ascii="黑体" w:hAnsi="黑体" w:eastAsia="黑体" w:cs="黑体"/>
          <w:i w:val="0"/>
          <w:iCs w:val="0"/>
          <w:caps w:val="0"/>
          <w:color w:val="333333"/>
          <w:spacing w:val="0"/>
          <w:kern w:val="0"/>
          <w:sz w:val="36"/>
          <w:szCs w:val="36"/>
          <w:shd w:val="clear" w:fill="FFFFFF"/>
          <w:lang w:val="en-US" w:eastAsia="zh-CN" w:bidi="ar"/>
        </w:rPr>
        <w:t>汕尾市城区东片区城镇老旧小区改造项目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center"/>
        <w:rPr>
          <w:rFonts w:hint="eastAsia" w:ascii="微软雅黑" w:hAnsi="微软雅黑" w:eastAsia="微软雅黑" w:cs="微软雅黑"/>
          <w:i w:val="0"/>
          <w:iCs w:val="0"/>
          <w:caps w:val="0"/>
          <w:color w:val="333333"/>
          <w:spacing w:val="0"/>
          <w:sz w:val="24"/>
          <w:szCs w:val="24"/>
        </w:rPr>
      </w:pPr>
      <w:r>
        <w:rPr>
          <w:rFonts w:hint="eastAsia" w:ascii="黑体" w:hAnsi="黑体" w:eastAsia="黑体" w:cs="黑体"/>
          <w:i w:val="0"/>
          <w:iCs w:val="0"/>
          <w:caps w:val="0"/>
          <w:color w:val="333333"/>
          <w:spacing w:val="0"/>
          <w:kern w:val="0"/>
          <w:sz w:val="36"/>
          <w:szCs w:val="36"/>
          <w:shd w:val="clear" w:fill="FFFFFF"/>
          <w:lang w:val="en-US" w:eastAsia="zh-CN" w:bidi="ar"/>
        </w:rPr>
        <w:t>捷胜辖区内房屋征拆补偿方案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560" w:lineRule="exact"/>
        <w:ind w:right="0" w:firstLine="640" w:firstLineChars="200"/>
        <w:jc w:val="left"/>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560" w:lineRule="exact"/>
        <w:ind w:right="0" w:firstLine="640" w:firstLineChars="20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为贯彻“补短板、惠民生”重点部署，进一步加快老旧小区改造步伐，提升老旧小区人居环境，汕尾市城区人民政府决定对汕尾市城区东片区城镇老旧小区改造项目捷胜辖区内房屋实施征收，为保障老旧小区改造项目顺利实施，切实维护被征收房屋所有人合法权益，根据《中华人民共和国土地管理法》、《国有土地上房屋征收与补偿条例》（国务院590号令）及其他相关法律法规规定，结合项目实际情况，制定本房屋征收补偿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43" w:firstLineChars="200"/>
        <w:jc w:val="left"/>
        <w:rPr>
          <w:rFonts w:hint="eastAsia" w:ascii="仿宋" w:hAnsi="仿宋" w:eastAsia="仿宋" w:cs="仿宋"/>
          <w:b/>
          <w:bCs/>
          <w:color w:val="333333"/>
          <w:sz w:val="32"/>
          <w:szCs w:val="32"/>
          <w:u w:val="none"/>
        </w:rPr>
      </w:pPr>
      <w:r>
        <w:rPr>
          <w:rFonts w:hint="eastAsia" w:ascii="仿宋" w:hAnsi="仿宋" w:eastAsia="仿宋" w:cs="仿宋"/>
          <w:b/>
          <w:bCs/>
          <w:color w:val="333333"/>
          <w:sz w:val="32"/>
          <w:szCs w:val="32"/>
          <w:u w:val="none"/>
        </w:rPr>
        <w:t>一、征收目的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right="0" w:firstLine="420"/>
        <w:jc w:val="left"/>
        <w:rPr>
          <w:rFonts w:hint="eastAsia" w:ascii="仿宋" w:hAnsi="仿宋" w:eastAsia="仿宋" w:cs="仿宋"/>
          <w:color w:val="333333"/>
          <w:sz w:val="32"/>
          <w:szCs w:val="32"/>
          <w:u w:val="none"/>
        </w:rPr>
      </w:pPr>
      <w:r>
        <w:rPr>
          <w:rFonts w:hint="eastAsia" w:ascii="仿宋" w:hAnsi="仿宋" w:eastAsia="仿宋" w:cs="仿宋"/>
          <w:i w:val="0"/>
          <w:iCs w:val="0"/>
          <w:caps w:val="0"/>
          <w:color w:val="333333"/>
          <w:spacing w:val="0"/>
          <w:kern w:val="0"/>
          <w:sz w:val="32"/>
          <w:szCs w:val="32"/>
          <w:shd w:val="clear" w:fill="FFFFFF"/>
          <w:lang w:val="en-US" w:eastAsia="zh-CN" w:bidi="ar"/>
        </w:rPr>
        <w:t>汕尾市城区东片区城镇老旧小区改造项目</w:t>
      </w:r>
      <w:r>
        <w:rPr>
          <w:rFonts w:hint="eastAsia" w:ascii="仿宋" w:hAnsi="仿宋" w:eastAsia="仿宋" w:cs="仿宋"/>
          <w:color w:val="333333"/>
          <w:sz w:val="32"/>
          <w:szCs w:val="32"/>
          <w:u w:val="none"/>
        </w:rPr>
        <w:t>的需要。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b/>
          <w:bCs/>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rPr>
        <w:t>二、房屋征收补偿原则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150"/>
        <w:textAlignment w:val="auto"/>
        <w:rPr>
          <w:rFonts w:hint="eastAsia" w:ascii="仿宋" w:hAnsi="仿宋" w:eastAsia="仿宋" w:cs="仿宋"/>
          <w:b w:val="0"/>
          <w:bCs w:val="0"/>
          <w:color w:val="auto"/>
          <w:sz w:val="32"/>
          <w:szCs w:val="32"/>
        </w:rPr>
      </w:pPr>
      <w:r>
        <w:rPr>
          <w:rFonts w:hint="eastAsia" w:ascii="仿宋" w:hAnsi="仿宋" w:eastAsia="仿宋" w:cs="仿宋"/>
          <w:b w:val="0"/>
          <w:bCs w:val="0"/>
          <w:i w:val="0"/>
          <w:caps w:val="0"/>
          <w:color w:val="auto"/>
          <w:spacing w:val="0"/>
          <w:sz w:val="32"/>
          <w:szCs w:val="32"/>
          <w:shd w:val="clear" w:color="auto" w:fill="FFFFFF"/>
          <w:lang w:eastAsia="zh-CN"/>
        </w:rPr>
        <w:t>房</w:t>
      </w:r>
      <w:r>
        <w:rPr>
          <w:rFonts w:hint="eastAsia" w:ascii="仿宋" w:hAnsi="仿宋" w:eastAsia="仿宋" w:cs="仿宋"/>
          <w:b w:val="0"/>
          <w:bCs w:val="0"/>
          <w:i w:val="0"/>
          <w:caps w:val="0"/>
          <w:color w:val="auto"/>
          <w:spacing w:val="0"/>
          <w:sz w:val="32"/>
          <w:szCs w:val="32"/>
          <w:shd w:val="clear" w:color="auto" w:fill="FFFFFF"/>
        </w:rPr>
        <w:t>屋征收补偿遵循决策科学民主、程序正当合法、结果公平公开原则，对被征收人给予公平补偿。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560" w:lineRule="exact"/>
        <w:ind w:right="0" w:firstLine="643"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三、征收改造范围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560" w:lineRule="exac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汕尾市城区东片区城镇老旧小区改造项目捷胜辖区内，在改造实施过程中影响老旧小区综合改造提升、基础设施建设的零星房屋、建筑物、构筑物。</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i w:val="0"/>
          <w:caps w:val="0"/>
          <w:color w:val="333333"/>
          <w:spacing w:val="0"/>
          <w:sz w:val="32"/>
          <w:szCs w:val="32"/>
          <w:shd w:val="clear" w:color="auto" w:fill="FFFFFF"/>
        </w:rPr>
        <w:t>征收房屋基本情况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涉及被征收的房屋位于捷胜镇老渔市场、捷兴市场、东门街、西门街、北门街等；涉及被征收人房屋共 19 栋（间），</w:t>
      </w:r>
      <w:r>
        <w:rPr>
          <w:rFonts w:hint="eastAsia" w:ascii="仿宋" w:hAnsi="仿宋" w:eastAsia="仿宋" w:cs="仿宋"/>
          <w:sz w:val="32"/>
          <w:szCs w:val="32"/>
          <w:highlight w:val="none"/>
          <w:lang w:val="en-US" w:eastAsia="zh-CN"/>
        </w:rPr>
        <w:t>基底土地面积约16305.76平方米，房屋建筑面积约 8217.3 平方米。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五、征收单位</w:t>
      </w:r>
    </w:p>
    <w:p>
      <w:pPr>
        <w:pStyle w:val="9"/>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b w:val="0"/>
          <w:bCs w:val="0"/>
          <w:color w:val="auto"/>
          <w:sz w:val="32"/>
          <w:szCs w:val="32"/>
          <w:lang w:val="en-US"/>
        </w:rPr>
      </w:pPr>
      <w:r>
        <w:rPr>
          <w:rFonts w:hint="eastAsia" w:ascii="仿宋" w:hAnsi="仿宋" w:eastAsia="仿宋" w:cs="仿宋"/>
          <w:b w:val="0"/>
          <w:bCs w:val="0"/>
          <w:color w:val="auto"/>
          <w:sz w:val="32"/>
          <w:szCs w:val="32"/>
          <w:lang w:val="en-US" w:eastAsia="zh-CN"/>
        </w:rPr>
        <w:t>(一)</w:t>
      </w:r>
      <w:r>
        <w:rPr>
          <w:rFonts w:hint="eastAsia" w:ascii="仿宋" w:hAnsi="仿宋" w:eastAsia="仿宋" w:cs="仿宋"/>
          <w:b w:val="0"/>
          <w:bCs w:val="0"/>
          <w:color w:val="auto"/>
          <w:sz w:val="32"/>
          <w:szCs w:val="32"/>
          <w:lang w:val="en-US"/>
        </w:rPr>
        <w:t>征收主体：</w:t>
      </w:r>
      <w:r>
        <w:rPr>
          <w:rFonts w:hint="eastAsia" w:ascii="仿宋" w:hAnsi="仿宋" w:eastAsia="仿宋" w:cs="仿宋"/>
          <w:b w:val="0"/>
          <w:bCs w:val="0"/>
          <w:color w:val="auto"/>
          <w:sz w:val="32"/>
          <w:szCs w:val="32"/>
        </w:rPr>
        <w:t>汕尾市城区人民政府</w:t>
      </w:r>
      <w:r>
        <w:rPr>
          <w:rFonts w:hint="eastAsia" w:ascii="仿宋" w:hAnsi="仿宋" w:eastAsia="仿宋" w:cs="仿宋"/>
          <w:b w:val="0"/>
          <w:bCs w:val="0"/>
          <w:color w:val="auto"/>
          <w:sz w:val="32"/>
          <w:szCs w:val="32"/>
          <w:lang w:val="en-US"/>
        </w:rPr>
        <w:t>。</w:t>
      </w:r>
    </w:p>
    <w:p>
      <w:pPr>
        <w:pStyle w:val="9"/>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(二)征收部门：汕尾市城区住房和城乡建设局</w:t>
      </w:r>
    </w:p>
    <w:p>
      <w:pPr>
        <w:pStyle w:val="9"/>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(三)征收实施单位：</w:t>
      </w:r>
      <w:r>
        <w:rPr>
          <w:rFonts w:hint="eastAsia" w:ascii="仿宋" w:hAnsi="仿宋" w:eastAsia="仿宋" w:cs="仿宋"/>
          <w:b w:val="0"/>
          <w:bCs w:val="0"/>
          <w:color w:val="auto"/>
          <w:sz w:val="32"/>
          <w:szCs w:val="32"/>
          <w:lang w:val="zh-TW" w:eastAsia="zh-TW"/>
        </w:rPr>
        <w:t>汕尾市城区捷胜镇</w:t>
      </w:r>
      <w:r>
        <w:rPr>
          <w:rFonts w:hint="eastAsia" w:ascii="仿宋" w:hAnsi="仿宋" w:eastAsia="仿宋" w:cs="仿宋"/>
          <w:b w:val="0"/>
          <w:bCs w:val="0"/>
          <w:color w:val="auto"/>
          <w:sz w:val="32"/>
          <w:szCs w:val="32"/>
          <w:lang w:val="en-US" w:eastAsia="zh-CN"/>
        </w:rPr>
        <w:t>人民政府</w:t>
      </w:r>
      <w:r>
        <w:rPr>
          <w:rFonts w:hint="eastAsia" w:ascii="仿宋" w:hAnsi="仿宋" w:eastAsia="仿宋" w:cs="仿宋"/>
          <w:b w:val="0"/>
          <w:bCs w:val="0"/>
          <w:color w:val="auto"/>
          <w:sz w:val="32"/>
          <w:szCs w:val="32"/>
          <w:lang w:val="en-US" w:eastAsia="zh-TW"/>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(四)</w:t>
      </w:r>
      <w:r>
        <w:rPr>
          <w:rFonts w:hint="eastAsia" w:ascii="仿宋" w:hAnsi="仿宋" w:eastAsia="仿宋" w:cs="仿宋"/>
          <w:b w:val="0"/>
          <w:bCs w:val="0"/>
          <w:color w:val="auto"/>
          <w:sz w:val="32"/>
          <w:szCs w:val="32"/>
          <w:lang w:eastAsia="zh-CN"/>
        </w:rPr>
        <w:t>房屋征收可以向从事房屋征收业务或具备相应工作经验的</w:t>
      </w:r>
      <w:r>
        <w:rPr>
          <w:rFonts w:hint="eastAsia" w:ascii="仿宋" w:hAnsi="仿宋" w:eastAsia="仿宋" w:cs="仿宋"/>
          <w:b w:val="0"/>
          <w:bCs w:val="0"/>
          <w:color w:val="auto"/>
          <w:sz w:val="32"/>
          <w:szCs w:val="32"/>
          <w:lang w:val="en-US" w:eastAsia="zh-CN"/>
        </w:rPr>
        <w:t>第三方机构</w:t>
      </w:r>
      <w:r>
        <w:rPr>
          <w:rFonts w:hint="eastAsia" w:ascii="仿宋" w:hAnsi="仿宋" w:eastAsia="仿宋" w:cs="仿宋"/>
          <w:b w:val="0"/>
          <w:bCs w:val="0"/>
          <w:color w:val="auto"/>
          <w:sz w:val="32"/>
          <w:szCs w:val="32"/>
          <w:lang w:eastAsia="zh-CN"/>
        </w:rPr>
        <w:t>采购房屋征收相关服务，所需工作经费由征收实施单位予以保障，并列入征收成本。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六、被征收人</w:t>
      </w:r>
    </w:p>
    <w:p>
      <w:pPr>
        <w:keepNext w:val="0"/>
        <w:keepLines w:val="0"/>
        <w:pageBreakBefore w:val="0"/>
        <w:kinsoku/>
        <w:wordWrap/>
        <w:overflowPunct/>
        <w:topLinePunct w:val="0"/>
        <w:autoSpaceDE/>
        <w:autoSpaceDN/>
        <w:bidi w:val="0"/>
        <w:adjustRightInd/>
        <w:snapToGrid/>
        <w:spacing w:afterAutospacing="0" w:line="560" w:lineRule="exac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val="en-US" w:eastAsia="zh-CN"/>
        </w:rPr>
        <w:t>本项目区域</w:t>
      </w:r>
      <w:r>
        <w:rPr>
          <w:rFonts w:hint="eastAsia" w:ascii="仿宋" w:hAnsi="仿宋" w:eastAsia="仿宋" w:cs="仿宋"/>
          <w:sz w:val="32"/>
          <w:szCs w:val="32"/>
          <w:lang w:val="en-US" w:eastAsia="zh-CN"/>
        </w:rPr>
        <w:t>内涉及被征收的</w:t>
      </w:r>
      <w:r>
        <w:rPr>
          <w:rFonts w:hint="eastAsia" w:ascii="仿宋" w:hAnsi="仿宋" w:eastAsia="仿宋" w:cs="仿宋"/>
          <w:b w:val="0"/>
          <w:bCs w:val="0"/>
          <w:color w:val="auto"/>
          <w:sz w:val="32"/>
          <w:szCs w:val="32"/>
        </w:rPr>
        <w:t>房屋所有权人、</w:t>
      </w:r>
      <w:r>
        <w:rPr>
          <w:rFonts w:hint="eastAsia" w:ascii="仿宋" w:hAnsi="仿宋" w:eastAsia="仿宋" w:cs="仿宋"/>
          <w:b w:val="0"/>
          <w:bCs w:val="0"/>
          <w:color w:val="auto"/>
          <w:sz w:val="32"/>
          <w:szCs w:val="32"/>
          <w:lang w:val="en-US"/>
        </w:rPr>
        <w:t>政府</w:t>
      </w:r>
      <w:r>
        <w:rPr>
          <w:rFonts w:hint="eastAsia" w:ascii="仿宋" w:hAnsi="仿宋" w:eastAsia="仿宋" w:cs="仿宋"/>
          <w:b w:val="0"/>
          <w:bCs w:val="0"/>
          <w:color w:val="auto"/>
          <w:sz w:val="32"/>
          <w:szCs w:val="32"/>
        </w:rPr>
        <w:t>授权的国有房屋管理人为</w:t>
      </w:r>
      <w:r>
        <w:rPr>
          <w:rFonts w:hint="eastAsia" w:ascii="仿宋" w:hAnsi="仿宋" w:eastAsia="仿宋" w:cs="仿宋"/>
          <w:b w:val="0"/>
          <w:bCs w:val="0"/>
          <w:color w:val="auto"/>
          <w:sz w:val="32"/>
          <w:szCs w:val="32"/>
          <w:lang w:eastAsia="zh-CN"/>
        </w:rPr>
        <w:t>被</w:t>
      </w:r>
      <w:r>
        <w:rPr>
          <w:rFonts w:hint="eastAsia" w:ascii="仿宋" w:hAnsi="仿宋" w:eastAsia="仿宋" w:cs="仿宋"/>
          <w:b w:val="0"/>
          <w:bCs w:val="0"/>
          <w:color w:val="auto"/>
          <w:sz w:val="32"/>
          <w:szCs w:val="32"/>
          <w:lang w:val="en-US" w:eastAsia="zh-CN"/>
        </w:rPr>
        <w:t>征收人。</w:t>
      </w:r>
    </w:p>
    <w:p>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ind w:firstLine="643"/>
        <w:jc w:val="left"/>
        <w:textAlignment w:val="auto"/>
        <w:rPr>
          <w:rFonts w:hint="eastAsia" w:ascii="仿宋" w:hAnsi="仿宋" w:eastAsia="仿宋" w:cs="仿宋"/>
          <w:color w:val="000000"/>
          <w:kern w:val="0"/>
          <w:sz w:val="32"/>
          <w:szCs w:val="32"/>
        </w:rPr>
      </w:pPr>
      <w:r>
        <w:rPr>
          <w:rFonts w:hint="eastAsia" w:ascii="仿宋" w:hAnsi="仿宋" w:eastAsia="仿宋" w:cs="仿宋"/>
          <w:b/>
          <w:bCs/>
          <w:sz w:val="32"/>
          <w:szCs w:val="32"/>
          <w:lang w:eastAsia="zh-CN"/>
        </w:rPr>
        <w:t>七、</w:t>
      </w:r>
      <w:r>
        <w:rPr>
          <w:rFonts w:hint="eastAsia" w:ascii="仿宋" w:hAnsi="仿宋" w:eastAsia="仿宋" w:cs="仿宋"/>
          <w:b/>
          <w:bCs/>
          <w:color w:val="000000"/>
          <w:kern w:val="0"/>
          <w:sz w:val="32"/>
          <w:szCs w:val="32"/>
        </w:rPr>
        <w:t>征收期限</w:t>
      </w:r>
    </w:p>
    <w:p>
      <w:pPr>
        <w:pStyle w:val="2"/>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发布征收公告公示之日起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天内为房屋征收补偿签约期限。</w:t>
      </w:r>
    </w:p>
    <w:p>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ind w:firstLine="643"/>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lang w:eastAsia="zh-CN"/>
        </w:rPr>
        <w:t>、权属、面积、用途认定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用地权属</w:t>
      </w:r>
      <w:r>
        <w:rPr>
          <w:rFonts w:hint="eastAsia" w:ascii="仿宋" w:hAnsi="仿宋" w:eastAsia="仿宋" w:cs="仿宋"/>
          <w:color w:val="000000" w:themeColor="text1"/>
          <w:sz w:val="32"/>
          <w:szCs w:val="32"/>
          <w:lang w:eastAsia="zh-CN"/>
          <w14:textFill>
            <w14:solidFill>
              <w14:schemeClr w14:val="tx1"/>
            </w14:solidFill>
          </w14:textFill>
        </w:rPr>
        <w:t>认</w:t>
      </w:r>
      <w:r>
        <w:rPr>
          <w:rFonts w:hint="eastAsia" w:ascii="仿宋" w:hAnsi="仿宋" w:eastAsia="仿宋" w:cs="仿宋"/>
          <w:color w:val="000000" w:themeColor="text1"/>
          <w:sz w:val="32"/>
          <w:szCs w:val="32"/>
          <w14:textFill>
            <w14:solidFill>
              <w14:schemeClr w14:val="tx1"/>
            </w14:solidFill>
          </w14:textFill>
        </w:rPr>
        <w:t>定</w:t>
      </w:r>
      <w:r>
        <w:rPr>
          <w:rFonts w:hint="eastAsia" w:ascii="仿宋" w:hAnsi="仿宋" w:eastAsia="仿宋" w:cs="仿宋"/>
          <w:color w:val="000000" w:themeColor="text1"/>
          <w:sz w:val="32"/>
          <w:szCs w:val="32"/>
          <w:lang w:eastAsia="zh-CN"/>
          <w14:textFill>
            <w14:solidFill>
              <w14:schemeClr w14:val="tx1"/>
            </w14:solidFill>
          </w14:textFill>
        </w:rPr>
        <w:t>：以</w:t>
      </w:r>
      <w:r>
        <w:rPr>
          <w:rFonts w:hint="eastAsia" w:ascii="仿宋" w:hAnsi="仿宋" w:eastAsia="仿宋" w:cs="仿宋"/>
          <w:sz w:val="32"/>
          <w:szCs w:val="32"/>
          <w:lang w:eastAsia="zh-CN"/>
        </w:rPr>
        <w:t>不动产权证、房地产权证、国有土地使用证、集体土地建设用地使用证、农村“房地一体”确权登记证明材料、政府或国土部门批准用地证明、</w:t>
      </w:r>
      <w:r>
        <w:rPr>
          <w:rFonts w:hint="eastAsia" w:ascii="仿宋" w:hAnsi="仿宋" w:eastAsia="仿宋" w:cs="仿宋"/>
          <w:color w:val="auto"/>
          <w:sz w:val="32"/>
          <w:szCs w:val="32"/>
          <w:lang w:val="en-US"/>
        </w:rPr>
        <w:t>村/社区土地来源证明</w:t>
      </w:r>
      <w:r>
        <w:rPr>
          <w:rFonts w:hint="eastAsia" w:ascii="仿宋" w:hAnsi="仿宋" w:eastAsia="仿宋" w:cs="仿宋"/>
          <w:color w:val="auto"/>
          <w:sz w:val="32"/>
          <w:szCs w:val="32"/>
          <w:lang w:val="en-US" w:eastAsia="zh-CN"/>
        </w:rPr>
        <w:t>等相关</w:t>
      </w:r>
      <w:r>
        <w:rPr>
          <w:rFonts w:hint="eastAsia" w:ascii="仿宋" w:hAnsi="仿宋" w:eastAsia="仿宋" w:cs="仿宋"/>
          <w:sz w:val="32"/>
          <w:szCs w:val="32"/>
        </w:rPr>
        <w:t>合法有效</w:t>
      </w:r>
      <w:r>
        <w:rPr>
          <w:rFonts w:hint="eastAsia" w:ascii="仿宋" w:hAnsi="仿宋" w:eastAsia="仿宋" w:cs="仿宋"/>
          <w:sz w:val="32"/>
          <w:szCs w:val="32"/>
          <w:lang w:eastAsia="zh-CN"/>
        </w:rPr>
        <w:t>土地权属证明材料为依据。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w:t>
      </w:r>
      <w:r>
        <w:rPr>
          <w:rFonts w:hint="eastAsia" w:ascii="仿宋" w:hAnsi="仿宋" w:eastAsia="仿宋" w:cs="仿宋"/>
          <w:sz w:val="32"/>
          <w:szCs w:val="32"/>
          <w:lang w:eastAsia="zh-CN"/>
        </w:rPr>
        <w:t>土地、</w:t>
      </w:r>
      <w:r>
        <w:rPr>
          <w:rFonts w:hint="eastAsia" w:ascii="仿宋" w:hAnsi="仿宋" w:eastAsia="仿宋" w:cs="仿宋"/>
          <w:sz w:val="32"/>
          <w:szCs w:val="32"/>
        </w:rPr>
        <w:t>房屋面积</w:t>
      </w:r>
      <w:r>
        <w:rPr>
          <w:rFonts w:hint="eastAsia" w:ascii="仿宋" w:hAnsi="仿宋" w:eastAsia="仿宋" w:cs="仿宋"/>
          <w:sz w:val="32"/>
          <w:szCs w:val="32"/>
          <w:lang w:eastAsia="zh-CN"/>
        </w:rPr>
        <w:t>认定：</w:t>
      </w:r>
      <w:r>
        <w:rPr>
          <w:rFonts w:hint="eastAsia" w:ascii="仿宋" w:hAnsi="仿宋" w:eastAsia="仿宋" w:cs="仿宋"/>
          <w:sz w:val="32"/>
          <w:szCs w:val="32"/>
        </w:rPr>
        <w:t>被征收人具有合法有效产权证书的，按合法有效产权证书记载的面积为准</w:t>
      </w:r>
      <w:r>
        <w:rPr>
          <w:rFonts w:hint="eastAsia" w:ascii="仿宋" w:hAnsi="仿宋" w:eastAsia="仿宋" w:cs="仿宋"/>
          <w:sz w:val="32"/>
          <w:szCs w:val="32"/>
          <w:lang w:eastAsia="zh-CN"/>
        </w:rPr>
        <w:t>；</w:t>
      </w:r>
      <w:r>
        <w:rPr>
          <w:rFonts w:hint="eastAsia" w:ascii="仿宋" w:hAnsi="仿宋" w:eastAsia="仿宋" w:cs="仿宋"/>
          <w:sz w:val="32"/>
          <w:szCs w:val="32"/>
        </w:rPr>
        <w:t>合法有效</w:t>
      </w:r>
      <w:r>
        <w:rPr>
          <w:rFonts w:hint="eastAsia" w:ascii="仿宋" w:hAnsi="仿宋" w:eastAsia="仿宋" w:cs="仿宋"/>
          <w:sz w:val="32"/>
          <w:szCs w:val="32"/>
          <w:lang w:eastAsia="zh-CN"/>
        </w:rPr>
        <w:t>权属证明材料</w:t>
      </w:r>
      <w:r>
        <w:rPr>
          <w:rFonts w:hint="eastAsia" w:ascii="仿宋" w:hAnsi="仿宋" w:eastAsia="仿宋" w:cs="仿宋"/>
          <w:sz w:val="32"/>
          <w:szCs w:val="32"/>
        </w:rPr>
        <w:t>记载面积与现状房屋面积不符</w:t>
      </w:r>
      <w:r>
        <w:rPr>
          <w:rFonts w:hint="eastAsia" w:ascii="仿宋" w:hAnsi="仿宋" w:eastAsia="仿宋" w:cs="仿宋"/>
          <w:sz w:val="32"/>
          <w:szCs w:val="32"/>
          <w:lang w:eastAsia="zh-CN"/>
        </w:rPr>
        <w:t>及</w:t>
      </w:r>
      <w:r>
        <w:rPr>
          <w:rFonts w:hint="eastAsia" w:ascii="仿宋" w:hAnsi="仿宋" w:eastAsia="仿宋" w:cs="仿宋"/>
          <w:sz w:val="32"/>
          <w:szCs w:val="32"/>
        </w:rPr>
        <w:t>未登记房屋产权的，按中华人民共和国国家标准《房产测量规范GB/T17986-2000》有关规定，由具有测绘资质的第三方测绘机构与被征收人一同对现状房屋进行测量，房屋建筑面积以第三方测绘机构测绘面积为准。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仿宋" w:hAnsi="仿宋" w:eastAsia="仿宋" w:cs="仿宋"/>
          <w:sz w:val="32"/>
          <w:szCs w:val="32"/>
          <w:lang w:eastAsia="zh-CN"/>
        </w:rPr>
        <w:t>土地、</w:t>
      </w:r>
      <w:r>
        <w:rPr>
          <w:rFonts w:hint="eastAsia" w:ascii="仿宋" w:hAnsi="仿宋" w:eastAsia="仿宋" w:cs="仿宋"/>
          <w:sz w:val="32"/>
          <w:szCs w:val="32"/>
        </w:rPr>
        <w:t>房屋</w:t>
      </w:r>
      <w:r>
        <w:rPr>
          <w:rFonts w:hint="eastAsia" w:ascii="仿宋" w:hAnsi="仿宋" w:eastAsia="仿宋" w:cs="仿宋"/>
          <w:sz w:val="32"/>
          <w:szCs w:val="32"/>
          <w:lang w:eastAsia="zh-CN"/>
        </w:rPr>
        <w:t>用途认定：</w:t>
      </w:r>
      <w:r>
        <w:rPr>
          <w:rFonts w:hint="eastAsia" w:ascii="仿宋" w:hAnsi="仿宋" w:eastAsia="仿宋" w:cs="仿宋"/>
          <w:sz w:val="32"/>
          <w:szCs w:val="32"/>
          <w:lang w:val="en-US" w:eastAsia="zh-CN"/>
        </w:rPr>
        <w:t>有合法有效产权证明材料的，以有效产权证明材料记载用途为准</w:t>
      </w:r>
      <w:r>
        <w:rPr>
          <w:rFonts w:hint="eastAsia" w:ascii="仿宋" w:hAnsi="仿宋" w:eastAsia="仿宋" w:cs="仿宋"/>
          <w:sz w:val="32"/>
          <w:szCs w:val="32"/>
        </w:rPr>
        <w:t>，</w:t>
      </w:r>
      <w:r>
        <w:rPr>
          <w:rFonts w:hint="eastAsia" w:ascii="仿宋" w:hAnsi="仿宋" w:eastAsia="仿宋" w:cs="仿宋"/>
          <w:sz w:val="32"/>
          <w:szCs w:val="32"/>
          <w:lang w:eastAsia="zh-CN"/>
        </w:rPr>
        <w:t>没</w:t>
      </w:r>
      <w:r>
        <w:rPr>
          <w:rFonts w:hint="eastAsia" w:ascii="仿宋" w:hAnsi="仿宋" w:eastAsia="仿宋" w:cs="仿宋"/>
          <w:sz w:val="32"/>
          <w:szCs w:val="32"/>
        </w:rPr>
        <w:t>记载用途</w:t>
      </w:r>
      <w:r>
        <w:rPr>
          <w:rFonts w:hint="eastAsia" w:ascii="仿宋" w:hAnsi="仿宋" w:eastAsia="仿宋" w:cs="仿宋"/>
          <w:sz w:val="32"/>
          <w:szCs w:val="32"/>
          <w:lang w:eastAsia="zh-CN"/>
        </w:rPr>
        <w:t>，依据房屋现状功能与实际用途予以认定。</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住改商或改其他经营性用途</w:t>
      </w:r>
      <w:r>
        <w:rPr>
          <w:rFonts w:hint="eastAsia" w:ascii="仿宋" w:hAnsi="仿宋" w:eastAsia="仿宋" w:cs="仿宋"/>
          <w:sz w:val="32"/>
          <w:szCs w:val="32"/>
          <w:lang w:eastAsia="zh-CN"/>
        </w:rPr>
        <w:t>认定：</w:t>
      </w:r>
      <w:r>
        <w:rPr>
          <w:rFonts w:hint="eastAsia" w:ascii="仿宋" w:hAnsi="仿宋" w:eastAsia="仿宋" w:cs="仿宋"/>
          <w:b w:val="0"/>
          <w:bCs w:val="0"/>
          <w:color w:val="auto"/>
          <w:sz w:val="32"/>
          <w:szCs w:val="32"/>
          <w:lang w:val="en-US" w:eastAsia="zh-CN"/>
        </w:rPr>
        <w:t>指临街一层为商铺，二层为住宅，截至房屋征收决定作出之日，房屋现状为商业</w:t>
      </w:r>
      <w:r>
        <w:rPr>
          <w:rFonts w:hint="eastAsia" w:ascii="仿宋" w:hAnsi="仿宋" w:eastAsia="仿宋" w:cs="仿宋"/>
          <w:sz w:val="32"/>
          <w:szCs w:val="32"/>
        </w:rPr>
        <w:t>或改其他经营性用途</w:t>
      </w:r>
      <w:r>
        <w:rPr>
          <w:rFonts w:hint="eastAsia" w:ascii="仿宋" w:hAnsi="仿宋" w:eastAsia="仿宋" w:cs="仿宋"/>
          <w:sz w:val="32"/>
          <w:szCs w:val="32"/>
          <w:lang w:eastAsia="zh-CN"/>
        </w:rPr>
        <w:t>，</w:t>
      </w:r>
      <w:r>
        <w:rPr>
          <w:rFonts w:hint="eastAsia" w:ascii="仿宋" w:hAnsi="仿宋" w:eastAsia="仿宋" w:cs="仿宋"/>
          <w:b w:val="0"/>
          <w:bCs w:val="0"/>
          <w:color w:val="auto"/>
          <w:sz w:val="32"/>
          <w:szCs w:val="32"/>
          <w:lang w:val="en-US" w:eastAsia="zh-CN"/>
        </w:rPr>
        <w:t>并取得工商营业登记许可1年的，由</w:t>
      </w:r>
      <w:r>
        <w:rPr>
          <w:rFonts w:hint="eastAsia" w:ascii="仿宋" w:hAnsi="仿宋" w:eastAsia="仿宋" w:cs="仿宋"/>
          <w:sz w:val="32"/>
          <w:szCs w:val="32"/>
          <w:lang w:val="en-US" w:eastAsia="zh-CN"/>
        </w:rPr>
        <w:t>当事人</w:t>
      </w:r>
      <w:r>
        <w:rPr>
          <w:rFonts w:hint="eastAsia" w:ascii="仿宋" w:hAnsi="仿宋" w:eastAsia="仿宋" w:cs="仿宋"/>
          <w:b w:val="0"/>
          <w:bCs w:val="0"/>
          <w:sz w:val="32"/>
          <w:szCs w:val="32"/>
          <w:lang w:eastAsia="zh-CN"/>
        </w:rPr>
        <w:t>提供</w:t>
      </w:r>
      <w:r>
        <w:rPr>
          <w:rFonts w:hint="eastAsia" w:ascii="仿宋" w:hAnsi="仿宋" w:eastAsia="仿宋" w:cs="仿宋"/>
          <w:sz w:val="32"/>
          <w:szCs w:val="32"/>
        </w:rPr>
        <w:t>合法有效产</w:t>
      </w:r>
      <w:r>
        <w:rPr>
          <w:rFonts w:hint="eastAsia" w:ascii="仿宋" w:hAnsi="仿宋" w:eastAsia="仿宋" w:cs="仿宋"/>
          <w:sz w:val="32"/>
          <w:szCs w:val="32"/>
          <w:lang w:eastAsia="zh-CN"/>
        </w:rPr>
        <w:t>权证明材料和</w:t>
      </w:r>
      <w:r>
        <w:rPr>
          <w:rFonts w:hint="eastAsia" w:ascii="仿宋" w:hAnsi="仿宋" w:eastAsia="仿宋" w:cs="仿宋"/>
          <w:b w:val="0"/>
          <w:bCs w:val="0"/>
          <w:sz w:val="32"/>
          <w:szCs w:val="32"/>
        </w:rPr>
        <w:t>《工商营业执照》</w:t>
      </w:r>
      <w:r>
        <w:rPr>
          <w:rFonts w:hint="eastAsia" w:ascii="仿宋" w:hAnsi="仿宋" w:eastAsia="仿宋" w:cs="仿宋"/>
          <w:b w:val="0"/>
          <w:bCs w:val="0"/>
          <w:sz w:val="32"/>
          <w:szCs w:val="32"/>
          <w:lang w:eastAsia="zh-CN"/>
        </w:rPr>
        <w:t>向征收单位申请</w:t>
      </w:r>
      <w:r>
        <w:rPr>
          <w:rFonts w:hint="eastAsia" w:ascii="仿宋" w:hAnsi="仿宋" w:eastAsia="仿宋" w:cs="仿宋"/>
          <w:b w:val="0"/>
          <w:bCs w:val="0"/>
          <w:color w:val="auto"/>
          <w:sz w:val="32"/>
          <w:szCs w:val="32"/>
          <w:lang w:val="en-US" w:eastAsia="zh-CN"/>
        </w:rPr>
        <w:t>商住</w:t>
      </w:r>
      <w:r>
        <w:rPr>
          <w:rFonts w:hint="eastAsia" w:ascii="仿宋" w:hAnsi="仿宋" w:eastAsia="仿宋" w:cs="仿宋"/>
          <w:sz w:val="32"/>
          <w:szCs w:val="32"/>
        </w:rPr>
        <w:t>或改其他经营性</w:t>
      </w:r>
      <w:r>
        <w:rPr>
          <w:rFonts w:hint="eastAsia" w:ascii="仿宋" w:hAnsi="仿宋" w:eastAsia="仿宋" w:cs="仿宋"/>
          <w:b w:val="0"/>
          <w:bCs w:val="0"/>
          <w:color w:val="auto"/>
          <w:sz w:val="32"/>
          <w:szCs w:val="32"/>
          <w:lang w:val="en-US" w:eastAsia="zh-CN"/>
        </w:rPr>
        <w:t>用途，经核定商住用途的按商住用途补偿，经核定不符合商住用途的按住宅用途补偿。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)根据有关法律法规及政策规定应予补偿的其他情形，</w:t>
      </w:r>
      <w:r>
        <w:rPr>
          <w:rFonts w:hint="eastAsia" w:ascii="仿宋" w:hAnsi="仿宋" w:eastAsia="仿宋" w:cs="仿宋"/>
          <w:sz w:val="32"/>
          <w:szCs w:val="32"/>
          <w:lang w:eastAsia="zh-CN"/>
        </w:rPr>
        <w:t>按照</w:t>
      </w:r>
      <w:r>
        <w:rPr>
          <w:rFonts w:hint="eastAsia" w:ascii="仿宋" w:hAnsi="仿宋" w:eastAsia="仿宋" w:cs="仿宋"/>
          <w:sz w:val="32"/>
          <w:szCs w:val="32"/>
        </w:rPr>
        <w:t>相关规定。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43" w:firstLineChars="200"/>
        <w:jc w:val="left"/>
        <w:rPr>
          <w:rFonts w:hint="eastAsia" w:ascii="仿宋" w:hAnsi="仿宋" w:eastAsia="仿宋" w:cs="仿宋"/>
          <w:b/>
          <w:bCs/>
          <w:color w:val="333333"/>
          <w:sz w:val="32"/>
          <w:szCs w:val="32"/>
          <w:u w:val="none"/>
        </w:rPr>
      </w:pPr>
      <w:bookmarkStart w:id="0" w:name="_Toc21839"/>
      <w:r>
        <w:rPr>
          <w:rFonts w:hint="eastAsia" w:ascii="仿宋" w:hAnsi="仿宋" w:eastAsia="仿宋" w:cs="仿宋"/>
          <w:b/>
          <w:bCs/>
          <w:color w:val="333333"/>
          <w:sz w:val="32"/>
          <w:szCs w:val="32"/>
          <w:u w:val="none"/>
        </w:rPr>
        <w:t>九、房屋价值评估基本原则</w:t>
      </w:r>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)被征收房屋的价值，由具有房地产评估资质的房地产评估机构</w:t>
      </w:r>
      <w:r>
        <w:rPr>
          <w:rFonts w:hint="eastAsia" w:ascii="仿宋" w:hAnsi="仿宋" w:eastAsia="仿宋" w:cs="仿宋"/>
          <w:sz w:val="32"/>
          <w:szCs w:val="32"/>
          <w:lang w:eastAsia="zh-CN"/>
        </w:rPr>
        <w:t>，</w:t>
      </w:r>
      <w:r>
        <w:rPr>
          <w:rFonts w:hint="eastAsia" w:ascii="仿宋" w:hAnsi="仿宋" w:eastAsia="仿宋" w:cs="仿宋"/>
          <w:sz w:val="32"/>
          <w:szCs w:val="32"/>
        </w:rPr>
        <w:t>依据</w:t>
      </w:r>
      <w:r>
        <w:rPr>
          <w:rFonts w:hint="eastAsia" w:ascii="仿宋" w:hAnsi="仿宋" w:eastAsia="仿宋" w:cs="仿宋"/>
          <w:sz w:val="32"/>
          <w:szCs w:val="32"/>
          <w:lang w:val="en-US" w:eastAsia="zh-CN"/>
        </w:rPr>
        <w:t>《中华人民共和国土地管理法》、</w:t>
      </w:r>
      <w:r>
        <w:rPr>
          <w:rFonts w:hint="eastAsia" w:ascii="仿宋" w:hAnsi="仿宋" w:eastAsia="仿宋" w:cs="仿宋"/>
          <w:sz w:val="32"/>
          <w:szCs w:val="32"/>
        </w:rPr>
        <w:t>《国有土地上房屋征收与补偿条例》（第590号令）《国有土地上房屋征收评估办法》（建房〔2011〕77号）以及相关</w:t>
      </w:r>
      <w:r>
        <w:rPr>
          <w:rFonts w:hint="eastAsia" w:ascii="仿宋" w:hAnsi="仿宋" w:eastAsia="仿宋" w:cs="仿宋"/>
          <w:sz w:val="32"/>
          <w:szCs w:val="32"/>
          <w:lang w:eastAsia="zh-CN"/>
        </w:rPr>
        <w:t>法律法规</w:t>
      </w:r>
      <w:r>
        <w:rPr>
          <w:rFonts w:hint="eastAsia" w:ascii="仿宋" w:hAnsi="仿宋" w:eastAsia="仿宋" w:cs="仿宋"/>
          <w:sz w:val="32"/>
          <w:szCs w:val="32"/>
        </w:rPr>
        <w:t>规定，结合本补偿安置方案所制定的政策进行评估</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(二)房屋价值评估，根据被征收房屋区位、面积、用途、建筑结构、室内装修档次等，在房屋征收决定公告之日为评估价值时点，按照被征收房屋</w:t>
      </w:r>
      <w:r>
        <w:rPr>
          <w:rFonts w:hint="eastAsia" w:ascii="仿宋" w:hAnsi="仿宋" w:eastAsia="仿宋" w:cs="仿宋"/>
          <w:sz w:val="32"/>
          <w:szCs w:val="32"/>
          <w:lang w:val="en-US" w:eastAsia="zh-CN"/>
        </w:rPr>
        <w:t>的</w:t>
      </w:r>
      <w:r>
        <w:rPr>
          <w:rFonts w:hint="eastAsia" w:ascii="仿宋" w:hAnsi="仿宋" w:eastAsia="仿宋" w:cs="仿宋"/>
          <w:sz w:val="32"/>
          <w:szCs w:val="32"/>
        </w:rPr>
        <w:t>类似房地产的市场价格，分别对土地、建筑物、室内装修进行房地产一体化评估，房屋价值评估报告作为被征收房屋补偿价值依据。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)由征收实施单位依法依规按程序委托具备资质的</w:t>
      </w:r>
      <w:r>
        <w:rPr>
          <w:rFonts w:hint="eastAsia" w:ascii="仿宋" w:hAnsi="仿宋" w:eastAsia="仿宋" w:cs="仿宋"/>
          <w:sz w:val="32"/>
          <w:szCs w:val="32"/>
          <w:lang w:eastAsia="zh-CN"/>
        </w:rPr>
        <w:t>测绘</w:t>
      </w:r>
      <w:r>
        <w:rPr>
          <w:rFonts w:hint="eastAsia" w:ascii="仿宋" w:hAnsi="仿宋" w:eastAsia="仿宋" w:cs="仿宋"/>
          <w:sz w:val="32"/>
          <w:szCs w:val="32"/>
        </w:rPr>
        <w:t>机构</w:t>
      </w:r>
      <w:r>
        <w:rPr>
          <w:rFonts w:hint="eastAsia" w:ascii="仿宋" w:hAnsi="仿宋" w:eastAsia="仿宋" w:cs="仿宋"/>
          <w:sz w:val="32"/>
          <w:szCs w:val="32"/>
          <w:lang w:eastAsia="zh-CN"/>
        </w:rPr>
        <w:t>、</w:t>
      </w:r>
      <w:r>
        <w:rPr>
          <w:rFonts w:hint="eastAsia" w:ascii="仿宋" w:hAnsi="仿宋" w:eastAsia="仿宋" w:cs="仿宋"/>
          <w:sz w:val="32"/>
          <w:szCs w:val="32"/>
        </w:rPr>
        <w:t>资产评估机构，依法依规对需征收的土地、房屋、构筑物、附属物等进行丈量、登记、评估，被征收人应予以配合，并</w:t>
      </w:r>
      <w:r>
        <w:rPr>
          <w:rFonts w:hint="eastAsia" w:ascii="仿宋" w:hAnsi="仿宋" w:eastAsia="仿宋" w:cs="仿宋"/>
          <w:sz w:val="32"/>
          <w:szCs w:val="32"/>
          <w:lang w:eastAsia="zh-CN"/>
        </w:rPr>
        <w:t>提供</w:t>
      </w:r>
      <w:r>
        <w:rPr>
          <w:rFonts w:hint="eastAsia" w:ascii="仿宋" w:hAnsi="仿宋" w:eastAsia="仿宋" w:cs="仿宋"/>
          <w:sz w:val="32"/>
          <w:szCs w:val="32"/>
        </w:rPr>
        <w:t>土地、房屋、构筑物、附属物等的所有权人有效</w:t>
      </w:r>
      <w:r>
        <w:rPr>
          <w:rFonts w:hint="eastAsia" w:ascii="仿宋" w:hAnsi="仿宋" w:eastAsia="仿宋" w:cs="仿宋"/>
          <w:sz w:val="32"/>
          <w:szCs w:val="32"/>
          <w:lang w:eastAsia="zh-CN"/>
        </w:rPr>
        <w:t>权属</w:t>
      </w:r>
      <w:r>
        <w:rPr>
          <w:rFonts w:hint="eastAsia" w:ascii="仿宋" w:hAnsi="仿宋" w:eastAsia="仿宋" w:cs="仿宋"/>
          <w:sz w:val="32"/>
          <w:szCs w:val="32"/>
        </w:rPr>
        <w:t>证明</w:t>
      </w:r>
      <w:r>
        <w:rPr>
          <w:rFonts w:hint="eastAsia" w:ascii="仿宋" w:hAnsi="仿宋" w:eastAsia="仿宋" w:cs="仿宋"/>
          <w:sz w:val="32"/>
          <w:szCs w:val="32"/>
          <w:lang w:eastAsia="zh-CN"/>
        </w:rPr>
        <w:t>材料</w:t>
      </w:r>
      <w:r>
        <w:rPr>
          <w:rFonts w:hint="eastAsia" w:ascii="仿宋" w:hAnsi="仿宋" w:eastAsia="仿宋" w:cs="仿宋"/>
          <w:sz w:val="32"/>
          <w:szCs w:val="32"/>
        </w:rPr>
        <w:t>，确保房屋</w:t>
      </w:r>
      <w:r>
        <w:rPr>
          <w:rFonts w:hint="eastAsia" w:ascii="仿宋" w:hAnsi="仿宋" w:eastAsia="仿宋" w:cs="仿宋"/>
          <w:sz w:val="32"/>
          <w:szCs w:val="32"/>
          <w:lang w:eastAsia="zh-CN"/>
        </w:rPr>
        <w:t>面积、</w:t>
      </w:r>
      <w:r>
        <w:rPr>
          <w:rFonts w:hint="eastAsia" w:ascii="仿宋" w:hAnsi="仿宋" w:eastAsia="仿宋" w:cs="仿宋"/>
          <w:sz w:val="32"/>
          <w:szCs w:val="32"/>
        </w:rPr>
        <w:t>房屋评</w:t>
      </w:r>
      <w:r>
        <w:rPr>
          <w:rFonts w:hint="eastAsia" w:ascii="仿宋" w:hAnsi="仿宋" w:eastAsia="仿宋" w:cs="仿宋"/>
          <w:sz w:val="32"/>
          <w:szCs w:val="32"/>
          <w:lang w:eastAsia="zh-CN"/>
        </w:rPr>
        <w:t>估</w:t>
      </w:r>
      <w:r>
        <w:rPr>
          <w:rFonts w:hint="eastAsia" w:ascii="仿宋" w:hAnsi="仿宋" w:eastAsia="仿宋" w:cs="仿宋"/>
          <w:sz w:val="32"/>
          <w:szCs w:val="32"/>
        </w:rPr>
        <w:t xml:space="preserve">价值结果公平、公正、合法有效。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)被征收人不协助</w:t>
      </w:r>
      <w:r>
        <w:rPr>
          <w:rFonts w:hint="eastAsia" w:ascii="仿宋" w:hAnsi="仿宋" w:eastAsia="仿宋" w:cs="仿宋"/>
          <w:sz w:val="32"/>
          <w:szCs w:val="32"/>
          <w:lang w:eastAsia="zh-CN"/>
        </w:rPr>
        <w:t>测绘</w:t>
      </w:r>
      <w:r>
        <w:rPr>
          <w:rFonts w:hint="eastAsia" w:ascii="仿宋" w:hAnsi="仿宋" w:eastAsia="仿宋" w:cs="仿宋"/>
          <w:sz w:val="32"/>
          <w:szCs w:val="32"/>
        </w:rPr>
        <w:t>机构</w:t>
      </w:r>
      <w:r>
        <w:rPr>
          <w:rFonts w:hint="eastAsia" w:ascii="仿宋" w:hAnsi="仿宋" w:eastAsia="仿宋" w:cs="仿宋"/>
          <w:sz w:val="32"/>
          <w:szCs w:val="32"/>
          <w:lang w:eastAsia="zh-CN"/>
        </w:rPr>
        <w:t>、</w:t>
      </w:r>
      <w:r>
        <w:rPr>
          <w:rFonts w:hint="eastAsia" w:ascii="仿宋" w:hAnsi="仿宋" w:eastAsia="仿宋" w:cs="仿宋"/>
          <w:sz w:val="32"/>
          <w:szCs w:val="32"/>
        </w:rPr>
        <w:t xml:space="preserve">评估机构对被征收房屋进行实地查勘或提供不实情况和资料造成评估失实或其他后果的，被征收人应承担相应责任。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43" w:firstLineChars="200"/>
        <w:jc w:val="left"/>
        <w:rPr>
          <w:rFonts w:hint="eastAsia" w:ascii="仿宋" w:hAnsi="仿宋" w:eastAsia="仿宋" w:cs="仿宋"/>
          <w:b/>
          <w:bCs/>
          <w:color w:val="333333"/>
          <w:sz w:val="32"/>
          <w:szCs w:val="32"/>
          <w:u w:val="none"/>
        </w:rPr>
      </w:pPr>
      <w:bookmarkStart w:id="1" w:name="_Toc18124"/>
      <w:r>
        <w:rPr>
          <w:rFonts w:hint="eastAsia" w:ascii="仿宋" w:hAnsi="仿宋" w:eastAsia="仿宋" w:cs="仿宋"/>
          <w:b/>
          <w:bCs/>
          <w:color w:val="333333"/>
          <w:sz w:val="32"/>
          <w:szCs w:val="32"/>
          <w:u w:val="none"/>
          <w:lang w:val="en-US" w:eastAsia="zh-CN"/>
        </w:rPr>
        <w:t>十</w:t>
      </w:r>
      <w:r>
        <w:rPr>
          <w:rFonts w:hint="eastAsia" w:ascii="仿宋" w:hAnsi="仿宋" w:eastAsia="仿宋" w:cs="仿宋"/>
          <w:b/>
          <w:bCs/>
          <w:color w:val="333333"/>
          <w:sz w:val="32"/>
          <w:szCs w:val="32"/>
          <w:u w:val="none"/>
        </w:rPr>
        <w:t>、房屋征收补偿方式</w:t>
      </w:r>
      <w:bookmarkEnd w:id="1"/>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对房屋</w:t>
      </w:r>
      <w:r>
        <w:rPr>
          <w:rFonts w:hint="eastAsia" w:ascii="仿宋" w:hAnsi="仿宋" w:eastAsia="仿宋" w:cs="仿宋"/>
          <w:sz w:val="32"/>
          <w:szCs w:val="32"/>
          <w:lang w:eastAsia="zh-CN"/>
        </w:rPr>
        <w:t>所</w:t>
      </w:r>
      <w:r>
        <w:rPr>
          <w:rFonts w:hint="eastAsia" w:ascii="仿宋" w:hAnsi="仿宋" w:eastAsia="仿宋" w:cs="仿宋"/>
          <w:sz w:val="32"/>
          <w:szCs w:val="32"/>
        </w:rPr>
        <w:t>有权人实行货币补偿</w:t>
      </w:r>
      <w:r>
        <w:rPr>
          <w:rFonts w:hint="eastAsia" w:ascii="仿宋" w:hAnsi="仿宋" w:eastAsia="仿宋" w:cs="仿宋"/>
          <w:sz w:val="32"/>
          <w:szCs w:val="32"/>
          <w:lang w:eastAsia="zh-CN"/>
        </w:rPr>
        <w:t>，</w:t>
      </w:r>
      <w:r>
        <w:rPr>
          <w:rFonts w:hint="eastAsia" w:ascii="仿宋" w:hAnsi="仿宋" w:eastAsia="仿宋" w:cs="仿宋"/>
          <w:sz w:val="32"/>
          <w:szCs w:val="32"/>
        </w:rPr>
        <w:t>货币补偿按被征收房屋评估价值及其他相关补助款项支付给被征收人。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43" w:firstLineChars="200"/>
        <w:jc w:val="left"/>
        <w:rPr>
          <w:rFonts w:hint="eastAsia" w:ascii="仿宋" w:hAnsi="仿宋" w:eastAsia="仿宋" w:cs="仿宋"/>
          <w:b/>
          <w:bCs/>
          <w:color w:val="333333"/>
          <w:sz w:val="32"/>
          <w:szCs w:val="32"/>
          <w:u w:val="none"/>
          <w:lang w:val="en-US" w:eastAsia="zh-CN"/>
        </w:rPr>
      </w:pPr>
      <w:bookmarkStart w:id="2" w:name="_Toc32734"/>
      <w:r>
        <w:rPr>
          <w:rFonts w:hint="eastAsia" w:ascii="仿宋" w:hAnsi="仿宋" w:eastAsia="仿宋" w:cs="仿宋"/>
          <w:b/>
          <w:bCs/>
          <w:color w:val="333333"/>
          <w:sz w:val="32"/>
          <w:szCs w:val="32"/>
          <w:u w:val="none"/>
          <w:lang w:val="en-US" w:eastAsia="zh-CN"/>
        </w:rPr>
        <w:t>十一、被征收房屋补偿标准</w:t>
      </w:r>
      <w:bookmarkEnd w:id="2"/>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)在房屋征收决定公告之日为评估价值时点，按照被征收房屋类似房地产市场价格，分别对土地价值、建筑物、室内装修进行房地产一体化评估，房屋价值评估报告作为被征收房屋补偿价值依据。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住改商或改其他经营性补偿标准，</w:t>
      </w:r>
      <w:r>
        <w:rPr>
          <w:rFonts w:hint="eastAsia" w:ascii="仿宋" w:hAnsi="仿宋" w:eastAsia="仿宋" w:cs="仿宋"/>
          <w:sz w:val="32"/>
          <w:szCs w:val="32"/>
          <w:lang w:val="en-US" w:eastAsia="zh-CN"/>
        </w:rPr>
        <w:t>按房屋基底土地面积，按照</w:t>
      </w:r>
      <w:r>
        <w:rPr>
          <w:rFonts w:hint="eastAsia" w:ascii="仿宋" w:hAnsi="仿宋" w:eastAsia="仿宋" w:cs="仿宋"/>
          <w:b w:val="0"/>
          <w:bCs w:val="0"/>
          <w:kern w:val="0"/>
          <w:sz w:val="32"/>
          <w:szCs w:val="32"/>
          <w:lang w:val="en-US" w:eastAsia="zh-Hans"/>
        </w:rPr>
        <w:t>有合法权属证明的宅基</w:t>
      </w:r>
      <w:r>
        <w:rPr>
          <w:rFonts w:hint="eastAsia" w:ascii="仿宋" w:hAnsi="仿宋" w:eastAsia="仿宋" w:cs="仿宋"/>
          <w:b w:val="0"/>
          <w:bCs w:val="0"/>
          <w:sz w:val="32"/>
          <w:szCs w:val="32"/>
          <w:lang w:val="en-US" w:eastAsia="zh-CN"/>
        </w:rPr>
        <w:t>地</w:t>
      </w:r>
      <w:r>
        <w:rPr>
          <w:rFonts w:hint="eastAsia" w:ascii="仿宋" w:hAnsi="仿宋" w:eastAsia="仿宋" w:cs="仿宋"/>
          <w:sz w:val="32"/>
          <w:szCs w:val="32"/>
          <w:lang w:val="en-US" w:eastAsia="zh-CN"/>
        </w:rPr>
        <w:t>评估单价上浮不超过50%进行补偿。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sz w:val="32"/>
          <w:szCs w:val="32"/>
          <w:highlight w:val="none"/>
          <w:lang w:val="en-US" w:eastAsia="zh-CN"/>
        </w:rPr>
        <w:t>)</w:t>
      </w:r>
      <w:r>
        <w:rPr>
          <w:rFonts w:hint="eastAsia" w:ascii="仿宋" w:hAnsi="仿宋" w:eastAsia="仿宋" w:cs="仿宋"/>
          <w:b w:val="0"/>
          <w:bCs w:val="0"/>
          <w:kern w:val="0"/>
          <w:sz w:val="32"/>
          <w:szCs w:val="32"/>
          <w:highlight w:val="none"/>
          <w:lang w:val="en-US" w:eastAsia="zh-Hans"/>
        </w:rPr>
        <w:t>有合法</w:t>
      </w:r>
      <w:r>
        <w:rPr>
          <w:rFonts w:hint="eastAsia" w:ascii="仿宋" w:hAnsi="仿宋" w:eastAsia="仿宋" w:cs="仿宋"/>
          <w:b w:val="0"/>
          <w:bCs w:val="0"/>
          <w:kern w:val="0"/>
          <w:sz w:val="32"/>
          <w:szCs w:val="32"/>
          <w:highlight w:val="none"/>
          <w:lang w:val="en-US" w:eastAsia="zh-CN"/>
        </w:rPr>
        <w:t>有效</w:t>
      </w:r>
      <w:r>
        <w:rPr>
          <w:rFonts w:hint="eastAsia" w:ascii="仿宋" w:hAnsi="仿宋" w:eastAsia="仿宋" w:cs="仿宋"/>
          <w:b w:val="0"/>
          <w:bCs w:val="0"/>
          <w:kern w:val="0"/>
          <w:sz w:val="32"/>
          <w:szCs w:val="32"/>
          <w:highlight w:val="none"/>
          <w:lang w:val="en-US" w:eastAsia="zh-Hans"/>
        </w:rPr>
        <w:t>权属证明</w:t>
      </w:r>
      <w:r>
        <w:rPr>
          <w:rFonts w:hint="eastAsia" w:ascii="仿宋" w:hAnsi="仿宋" w:eastAsia="仿宋" w:cs="仿宋"/>
          <w:b w:val="0"/>
          <w:bCs w:val="0"/>
          <w:color w:val="auto"/>
          <w:sz w:val="32"/>
          <w:szCs w:val="32"/>
          <w:highlight w:val="none"/>
          <w:lang w:val="en-US" w:eastAsia="zh-CN"/>
        </w:rPr>
        <w:t>的未建设土</w:t>
      </w:r>
      <w:r>
        <w:rPr>
          <w:rFonts w:hint="eastAsia" w:ascii="仿宋" w:hAnsi="仿宋" w:eastAsia="仿宋" w:cs="仿宋"/>
          <w:color w:val="auto"/>
          <w:sz w:val="32"/>
          <w:szCs w:val="32"/>
          <w:highlight w:val="none"/>
          <w:lang w:val="en-US" w:eastAsia="zh-CN"/>
        </w:rPr>
        <w:t>地</w:t>
      </w:r>
      <w:r>
        <w:rPr>
          <w:rFonts w:hint="eastAsia" w:ascii="仿宋" w:hAnsi="仿宋" w:eastAsia="仿宋" w:cs="仿宋"/>
          <w:sz w:val="32"/>
          <w:szCs w:val="32"/>
          <w:highlight w:val="none"/>
        </w:rPr>
        <w:t>补偿标准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参</w:t>
      </w:r>
      <w:r>
        <w:rPr>
          <w:rFonts w:hint="eastAsia" w:ascii="仿宋" w:hAnsi="仿宋" w:eastAsia="仿宋" w:cs="仿宋"/>
          <w:sz w:val="32"/>
          <w:szCs w:val="32"/>
          <w:highlight w:val="none"/>
          <w:lang w:eastAsia="zh-CN"/>
        </w:rPr>
        <w:t>照</w:t>
      </w:r>
      <w:r>
        <w:rPr>
          <w:rFonts w:hint="eastAsia" w:ascii="仿宋" w:hAnsi="仿宋" w:eastAsia="仿宋" w:cs="仿宋"/>
          <w:sz w:val="32"/>
          <w:szCs w:val="32"/>
          <w:highlight w:val="none"/>
        </w:rPr>
        <w:t>《汕尾市城区2018年城镇土地定级与基准地价更新成果》及类似土地</w:t>
      </w:r>
      <w:r>
        <w:rPr>
          <w:rFonts w:hint="eastAsia" w:ascii="仿宋" w:hAnsi="仿宋" w:eastAsia="仿宋" w:cs="仿宋"/>
          <w:sz w:val="32"/>
          <w:szCs w:val="32"/>
          <w:highlight w:val="none"/>
          <w:lang w:eastAsia="zh-CN"/>
        </w:rPr>
        <w:t>二手</w:t>
      </w:r>
      <w:r>
        <w:rPr>
          <w:rFonts w:hint="eastAsia" w:ascii="仿宋" w:hAnsi="仿宋" w:eastAsia="仿宋" w:cs="仿宋"/>
          <w:sz w:val="32"/>
          <w:szCs w:val="32"/>
          <w:highlight w:val="none"/>
        </w:rPr>
        <w:t>市场价格</w:t>
      </w:r>
      <w:r>
        <w:rPr>
          <w:rFonts w:hint="eastAsia" w:ascii="仿宋" w:hAnsi="仿宋" w:eastAsia="仿宋" w:cs="仿宋"/>
          <w:sz w:val="32"/>
          <w:szCs w:val="32"/>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43" w:firstLineChars="200"/>
        <w:jc w:val="left"/>
        <w:rPr>
          <w:rFonts w:hint="eastAsia" w:ascii="仿宋" w:hAnsi="仿宋" w:eastAsia="仿宋" w:cs="仿宋"/>
          <w:b/>
          <w:bCs/>
          <w:color w:val="333333"/>
          <w:sz w:val="32"/>
          <w:szCs w:val="32"/>
          <w:u w:val="none"/>
          <w:lang w:val="en-US" w:eastAsia="zh-CN"/>
        </w:rPr>
      </w:pPr>
      <w:bookmarkStart w:id="3" w:name="_Toc28859"/>
      <w:r>
        <w:rPr>
          <w:rFonts w:hint="eastAsia" w:ascii="仿宋" w:hAnsi="仿宋" w:eastAsia="仿宋" w:cs="仿宋"/>
          <w:b/>
          <w:bCs/>
          <w:color w:val="333333"/>
          <w:sz w:val="32"/>
          <w:szCs w:val="32"/>
          <w:u w:val="none"/>
          <w:lang w:val="en-US" w:eastAsia="zh-CN"/>
        </w:rPr>
        <w:t>十二、建筑物、室内装修、构筑物评估指导价</w:t>
      </w:r>
      <w:bookmarkEnd w:id="3"/>
    </w:p>
    <w:p>
      <w:pPr>
        <w:keepNext w:val="0"/>
        <w:keepLines w:val="0"/>
        <w:pageBreakBefore w:val="0"/>
        <w:wordWrap/>
        <w:overflowPunct/>
        <w:topLinePunct w:val="0"/>
        <w:bidi w:val="0"/>
        <w:spacing w:line="560" w:lineRule="exact"/>
        <w:ind w:firstLine="640" w:firstLineChars="200"/>
        <w:outlineLvl w:val="1"/>
        <w:rPr>
          <w:rFonts w:hint="eastAsia" w:ascii="仿宋" w:hAnsi="仿宋" w:eastAsia="仿宋" w:cs="仿宋"/>
          <w:b w:val="0"/>
          <w:bCs w:val="0"/>
          <w:sz w:val="32"/>
          <w:szCs w:val="32"/>
          <w:lang w:val="en-US" w:eastAsia="zh-CN"/>
        </w:rPr>
      </w:pPr>
      <w:bookmarkStart w:id="4" w:name="_Toc15320"/>
      <w:r>
        <w:rPr>
          <w:rFonts w:hint="eastAsia" w:ascii="仿宋" w:hAnsi="仿宋" w:eastAsia="仿宋" w:cs="仿宋"/>
          <w:sz w:val="32"/>
          <w:szCs w:val="32"/>
        </w:rPr>
        <w:t>(一)建筑物</w:t>
      </w:r>
      <w:bookmarkEnd w:id="4"/>
    </w:p>
    <w:tbl>
      <w:tblPr>
        <w:tblStyle w:val="6"/>
        <w:tblpPr w:leftFromText="180" w:rightFromText="180" w:vertAnchor="text" w:horzAnchor="page" w:tblpXSpec="center" w:tblpY="277"/>
        <w:tblOverlap w:val="never"/>
        <w:tblW w:w="9105" w:type="dxa"/>
        <w:jc w:val="center"/>
        <w:tblLayout w:type="fixed"/>
        <w:tblCellMar>
          <w:top w:w="0" w:type="dxa"/>
          <w:left w:w="108" w:type="dxa"/>
          <w:bottom w:w="0" w:type="dxa"/>
          <w:right w:w="108" w:type="dxa"/>
        </w:tblCellMar>
      </w:tblPr>
      <w:tblGrid>
        <w:gridCol w:w="2111"/>
        <w:gridCol w:w="1854"/>
        <w:gridCol w:w="1601"/>
        <w:gridCol w:w="1854"/>
        <w:gridCol w:w="1685"/>
      </w:tblGrid>
      <w:tr>
        <w:tblPrEx>
          <w:tblCellMar>
            <w:top w:w="0" w:type="dxa"/>
            <w:left w:w="108" w:type="dxa"/>
            <w:bottom w:w="0" w:type="dxa"/>
            <w:right w:w="108" w:type="dxa"/>
          </w:tblCellMar>
        </w:tblPrEx>
        <w:trPr>
          <w:trHeight w:val="522" w:hRule="atLeast"/>
          <w:jc w:val="center"/>
        </w:trPr>
        <w:tc>
          <w:tcPr>
            <w:tcW w:w="2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项目</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框架结构</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混合结构</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砖木结构</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简易结构</w:t>
            </w:r>
          </w:p>
        </w:tc>
      </w:tr>
      <w:tr>
        <w:tblPrEx>
          <w:tblCellMar>
            <w:top w:w="0" w:type="dxa"/>
            <w:left w:w="108" w:type="dxa"/>
            <w:bottom w:w="0" w:type="dxa"/>
            <w:right w:w="108" w:type="dxa"/>
          </w:tblCellMar>
        </w:tblPrEx>
        <w:trPr>
          <w:trHeight w:val="522" w:hRule="atLeast"/>
          <w:jc w:val="center"/>
        </w:trPr>
        <w:tc>
          <w:tcPr>
            <w:tcW w:w="2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指导价</w:t>
            </w:r>
          </w:p>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元/平方米</w:t>
            </w:r>
            <w:r>
              <w:rPr>
                <w:rFonts w:hint="eastAsia" w:ascii="仿宋" w:hAnsi="仿宋" w:eastAsia="仿宋" w:cs="仿宋"/>
                <w:color w:val="000000"/>
                <w:sz w:val="28"/>
                <w:szCs w:val="28"/>
                <w:lang w:eastAsia="zh-CN"/>
              </w:rPr>
              <w:t>）</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ind w:firstLine="560" w:firstLineChars="200"/>
              <w:jc w:val="both"/>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1800</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1600</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1400</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800</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ind w:firstLine="320" w:firstLineChars="100"/>
        <w:jc w:val="both"/>
        <w:textAlignment w:val="auto"/>
        <w:outlineLvl w:val="1"/>
        <w:rPr>
          <w:rFonts w:hint="eastAsia" w:ascii="仿宋" w:hAnsi="仿宋" w:eastAsia="仿宋" w:cs="仿宋"/>
          <w:b w:val="0"/>
          <w:bCs w:val="0"/>
          <w:sz w:val="32"/>
          <w:szCs w:val="32"/>
          <w:lang w:val="en-US" w:eastAsia="zh-CN"/>
        </w:rPr>
      </w:pPr>
      <w:bookmarkStart w:id="5" w:name="_Toc27540"/>
      <w:r>
        <w:rPr>
          <w:rFonts w:hint="eastAsia" w:ascii="仿宋" w:hAnsi="仿宋" w:eastAsia="仿宋" w:cs="仿宋"/>
          <w:b w:val="0"/>
          <w:bCs w:val="0"/>
          <w:sz w:val="32"/>
          <w:szCs w:val="32"/>
          <w:lang w:val="en-US" w:eastAsia="zh-CN"/>
        </w:rPr>
        <w:t>(二)室内装修</w:t>
      </w:r>
      <w:bookmarkEnd w:id="5"/>
    </w:p>
    <w:tbl>
      <w:tblPr>
        <w:tblStyle w:val="6"/>
        <w:tblpPr w:leftFromText="180" w:rightFromText="180" w:vertAnchor="text" w:horzAnchor="page" w:tblpXSpec="center" w:tblpY="1"/>
        <w:tblOverlap w:val="never"/>
        <w:tblW w:w="5360" w:type="pct"/>
        <w:jc w:val="center"/>
        <w:tblLayout w:type="autofit"/>
        <w:tblCellMar>
          <w:top w:w="0" w:type="dxa"/>
          <w:left w:w="108" w:type="dxa"/>
          <w:bottom w:w="0" w:type="dxa"/>
          <w:right w:w="108" w:type="dxa"/>
        </w:tblCellMar>
      </w:tblPr>
      <w:tblGrid>
        <w:gridCol w:w="1932"/>
        <w:gridCol w:w="1512"/>
        <w:gridCol w:w="1347"/>
        <w:gridCol w:w="1431"/>
        <w:gridCol w:w="1386"/>
        <w:gridCol w:w="1528"/>
      </w:tblGrid>
      <w:tr>
        <w:tblPrEx>
          <w:tblCellMar>
            <w:top w:w="0" w:type="dxa"/>
            <w:left w:w="108" w:type="dxa"/>
            <w:bottom w:w="0" w:type="dxa"/>
            <w:right w:w="108" w:type="dxa"/>
          </w:tblCellMar>
        </w:tblPrEx>
        <w:trPr>
          <w:trHeight w:val="522" w:hRule="atLeast"/>
          <w:jc w:val="center"/>
        </w:trPr>
        <w:tc>
          <w:tcPr>
            <w:tcW w:w="10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项目</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eastAsia="zh-CN" w:bidi="ar"/>
              </w:rPr>
              <w:t>一</w:t>
            </w:r>
            <w:r>
              <w:rPr>
                <w:rFonts w:hint="eastAsia" w:ascii="仿宋" w:hAnsi="仿宋" w:eastAsia="仿宋" w:cs="仿宋"/>
                <w:color w:val="000000"/>
                <w:kern w:val="0"/>
                <w:sz w:val="28"/>
                <w:szCs w:val="28"/>
                <w:lang w:bidi="ar"/>
              </w:rPr>
              <w:t>级装修</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val="en-US" w:eastAsia="zh-CN" w:bidi="ar"/>
              </w:rPr>
              <w:t>二</w:t>
            </w:r>
            <w:r>
              <w:rPr>
                <w:rFonts w:hint="eastAsia" w:ascii="仿宋" w:hAnsi="仿宋" w:eastAsia="仿宋" w:cs="仿宋"/>
                <w:color w:val="000000"/>
                <w:kern w:val="0"/>
                <w:sz w:val="28"/>
                <w:szCs w:val="28"/>
                <w:lang w:bidi="ar"/>
              </w:rPr>
              <w:t>级装修</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val="en-US" w:eastAsia="zh-CN" w:bidi="ar"/>
              </w:rPr>
              <w:t>三</w:t>
            </w:r>
            <w:r>
              <w:rPr>
                <w:rFonts w:hint="eastAsia" w:ascii="仿宋" w:hAnsi="仿宋" w:eastAsia="仿宋" w:cs="仿宋"/>
                <w:color w:val="000000"/>
                <w:kern w:val="0"/>
                <w:sz w:val="28"/>
                <w:szCs w:val="28"/>
                <w:lang w:bidi="ar"/>
              </w:rPr>
              <w:t>级装修</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val="en-US" w:eastAsia="zh-CN" w:bidi="ar"/>
              </w:rPr>
              <w:t>四</w:t>
            </w:r>
            <w:r>
              <w:rPr>
                <w:rFonts w:hint="eastAsia" w:ascii="仿宋" w:hAnsi="仿宋" w:eastAsia="仿宋" w:cs="仿宋"/>
                <w:color w:val="000000"/>
                <w:kern w:val="0"/>
                <w:sz w:val="28"/>
                <w:szCs w:val="28"/>
                <w:lang w:bidi="ar"/>
              </w:rPr>
              <w:t>级装修</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adjustRightInd w:val="0"/>
              <w:snapToGrid w:val="0"/>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val="en-US" w:eastAsia="zh-CN" w:bidi="ar"/>
              </w:rPr>
              <w:t>五</w:t>
            </w:r>
            <w:r>
              <w:rPr>
                <w:rFonts w:hint="eastAsia" w:ascii="仿宋" w:hAnsi="仿宋" w:eastAsia="仿宋" w:cs="仿宋"/>
                <w:color w:val="000000"/>
                <w:kern w:val="0"/>
                <w:sz w:val="28"/>
                <w:szCs w:val="28"/>
                <w:lang w:bidi="ar"/>
              </w:rPr>
              <w:t>级装修</w:t>
            </w:r>
          </w:p>
        </w:tc>
      </w:tr>
      <w:tr>
        <w:tblPrEx>
          <w:tblCellMar>
            <w:top w:w="0" w:type="dxa"/>
            <w:left w:w="108" w:type="dxa"/>
            <w:bottom w:w="0" w:type="dxa"/>
            <w:right w:w="108" w:type="dxa"/>
          </w:tblCellMar>
        </w:tblPrEx>
        <w:trPr>
          <w:trHeight w:val="707" w:hRule="atLeast"/>
          <w:jc w:val="center"/>
        </w:trPr>
        <w:tc>
          <w:tcPr>
            <w:tcW w:w="10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指导价</w:t>
            </w:r>
          </w:p>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元/平方米</w:t>
            </w:r>
            <w:r>
              <w:rPr>
                <w:rFonts w:hint="eastAsia" w:ascii="仿宋" w:hAnsi="仿宋" w:eastAsia="仿宋" w:cs="仿宋"/>
                <w:color w:val="000000"/>
                <w:sz w:val="28"/>
                <w:szCs w:val="28"/>
                <w:lang w:eastAsia="zh-CN"/>
              </w:rPr>
              <w:t>）</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800-1000</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700-800</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600-700</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500-600</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200-400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b w:val="0"/>
          <w:bCs w:val="0"/>
          <w:sz w:val="32"/>
          <w:szCs w:val="32"/>
          <w:lang w:val="en-US" w:eastAsia="zh-CN"/>
        </w:rPr>
      </w:pPr>
      <w:bookmarkStart w:id="6" w:name="_Toc10907"/>
      <w:r>
        <w:rPr>
          <w:rFonts w:hint="eastAsia" w:ascii="仿宋" w:hAnsi="仿宋" w:eastAsia="仿宋" w:cs="仿宋"/>
          <w:b w:val="0"/>
          <w:bCs w:val="0"/>
          <w:sz w:val="32"/>
          <w:szCs w:val="32"/>
          <w:lang w:val="en-US" w:eastAsia="zh-CN"/>
        </w:rPr>
        <w:t>(三)构筑物</w:t>
      </w:r>
      <w:bookmarkEnd w:id="6"/>
    </w:p>
    <w:tbl>
      <w:tblPr>
        <w:tblStyle w:val="6"/>
        <w:tblpPr w:leftFromText="180" w:rightFromText="180" w:vertAnchor="text" w:horzAnchor="page" w:tblpXSpec="center" w:tblpY="1"/>
        <w:tblOverlap w:val="never"/>
        <w:tblW w:w="9869" w:type="dxa"/>
        <w:jc w:val="center"/>
        <w:tblLayout w:type="fixed"/>
        <w:tblCellMar>
          <w:top w:w="0" w:type="dxa"/>
          <w:left w:w="108" w:type="dxa"/>
          <w:bottom w:w="0" w:type="dxa"/>
          <w:right w:w="108" w:type="dxa"/>
        </w:tblCellMar>
      </w:tblPr>
      <w:tblGrid>
        <w:gridCol w:w="1958"/>
        <w:gridCol w:w="1930"/>
        <w:gridCol w:w="1503"/>
        <w:gridCol w:w="1313"/>
        <w:gridCol w:w="1750"/>
        <w:gridCol w:w="1415"/>
      </w:tblGrid>
      <w:tr>
        <w:tblPrEx>
          <w:tblCellMar>
            <w:top w:w="0" w:type="dxa"/>
            <w:left w:w="108" w:type="dxa"/>
            <w:bottom w:w="0" w:type="dxa"/>
            <w:right w:w="108" w:type="dxa"/>
          </w:tblCellMar>
        </w:tblPrEx>
        <w:trPr>
          <w:trHeight w:val="796" w:hRule="atLeast"/>
          <w:jc w:val="center"/>
        </w:trPr>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项目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8"/>
                <w:szCs w:val="28"/>
              </w:rPr>
            </w:pPr>
            <w:r>
              <w:rPr>
                <w:rStyle w:val="10"/>
                <w:rFonts w:hint="eastAsia" w:ascii="仿宋" w:hAnsi="仿宋" w:eastAsia="仿宋" w:cs="仿宋"/>
                <w:sz w:val="28"/>
                <w:szCs w:val="28"/>
                <w:lang w:bidi="ar"/>
              </w:rPr>
              <w:t>2.2米以下的建</w:t>
            </w:r>
            <w:r>
              <w:rPr>
                <w:rStyle w:val="10"/>
                <w:rFonts w:hint="eastAsia" w:ascii="仿宋" w:hAnsi="仿宋" w:eastAsia="仿宋" w:cs="仿宋"/>
                <w:sz w:val="28"/>
                <w:szCs w:val="28"/>
                <w:lang w:eastAsia="zh-CN" w:bidi="ar"/>
              </w:rPr>
              <w:t>（构）</w:t>
            </w:r>
            <w:r>
              <w:rPr>
                <w:rStyle w:val="10"/>
                <w:rFonts w:hint="eastAsia" w:ascii="仿宋" w:hAnsi="仿宋" w:eastAsia="仿宋" w:cs="仿宋"/>
                <w:sz w:val="28"/>
                <w:szCs w:val="28"/>
                <w:lang w:bidi="ar"/>
              </w:rPr>
              <w:t>筑物</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8"/>
                <w:szCs w:val="28"/>
              </w:rPr>
            </w:pPr>
            <w:r>
              <w:rPr>
                <w:rStyle w:val="10"/>
                <w:rFonts w:hint="eastAsia" w:ascii="仿宋" w:hAnsi="仿宋" w:eastAsia="仿宋" w:cs="仿宋"/>
                <w:sz w:val="28"/>
                <w:szCs w:val="28"/>
                <w:lang w:bidi="ar"/>
              </w:rPr>
              <w:t>砖石围墙</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木板棚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简易铁皮房</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8"/>
                <w:szCs w:val="28"/>
                <w:lang w:eastAsia="zh-CN"/>
              </w:rPr>
            </w:pPr>
            <w:r>
              <w:rPr>
                <w:rFonts w:hint="eastAsia" w:ascii="仿宋" w:hAnsi="仿宋" w:eastAsia="仿宋" w:cs="仿宋"/>
                <w:spacing w:val="-5"/>
                <w:sz w:val="28"/>
                <w:szCs w:val="28"/>
              </w:rPr>
              <w:t>庭院门楼</w:t>
            </w: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元/座</w:t>
            </w:r>
            <w:r>
              <w:rPr>
                <w:rFonts w:hint="eastAsia" w:ascii="仿宋" w:hAnsi="仿宋" w:eastAsia="仿宋" w:cs="仿宋"/>
                <w:spacing w:val="-5"/>
                <w:sz w:val="28"/>
                <w:szCs w:val="28"/>
                <w:lang w:eastAsia="zh-CN"/>
              </w:rPr>
              <w:t>）</w:t>
            </w:r>
          </w:p>
        </w:tc>
      </w:tr>
      <w:tr>
        <w:tblPrEx>
          <w:tblCellMar>
            <w:top w:w="0" w:type="dxa"/>
            <w:left w:w="108" w:type="dxa"/>
            <w:bottom w:w="0" w:type="dxa"/>
            <w:right w:w="108" w:type="dxa"/>
          </w:tblCellMar>
        </w:tblPrEx>
        <w:trPr>
          <w:trHeight w:val="531" w:hRule="atLeast"/>
          <w:jc w:val="center"/>
        </w:trPr>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指导价</w:t>
            </w:r>
          </w:p>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元/平方米</w:t>
            </w:r>
            <w:r>
              <w:rPr>
                <w:rFonts w:hint="eastAsia" w:ascii="仿宋" w:hAnsi="仿宋" w:eastAsia="仿宋" w:cs="仿宋"/>
                <w:color w:val="000000"/>
                <w:sz w:val="28"/>
                <w:szCs w:val="28"/>
                <w:lang w:eastAsia="zh-CN"/>
              </w:rPr>
              <w:t>）</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ind w:firstLine="560" w:firstLineChars="200"/>
              <w:jc w:val="both"/>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800</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100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200</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ind w:firstLine="560" w:firstLineChars="200"/>
              <w:jc w:val="both"/>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240" w:lineRule="auto"/>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5000</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以上指导价最终价格由评估机构根据相关规定进行评估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0" w:beforeAutospacing="0" w:after="0" w:afterAutospacing="0" w:line="560" w:lineRule="exact"/>
        <w:ind w:right="0" w:firstLine="643" w:firstLineChars="200"/>
        <w:jc w:val="left"/>
        <w:rPr>
          <w:rFonts w:hint="eastAsia" w:ascii="仿宋" w:hAnsi="仿宋" w:eastAsia="仿宋" w:cs="仿宋"/>
          <w:b/>
          <w:bCs/>
          <w:color w:val="333333"/>
          <w:sz w:val="32"/>
          <w:szCs w:val="32"/>
          <w:u w:val="none"/>
          <w:lang w:val="en-US" w:eastAsia="zh-CN"/>
        </w:rPr>
      </w:pPr>
      <w:bookmarkStart w:id="7" w:name="_Toc16005"/>
      <w:r>
        <w:rPr>
          <w:rFonts w:hint="eastAsia" w:ascii="仿宋" w:hAnsi="仿宋" w:eastAsia="仿宋" w:cs="仿宋"/>
          <w:b/>
          <w:bCs/>
          <w:color w:val="333333"/>
          <w:sz w:val="32"/>
          <w:szCs w:val="32"/>
          <w:u w:val="none"/>
          <w:lang w:val="en-US" w:eastAsia="zh-CN"/>
        </w:rPr>
        <w:t>十三、</w:t>
      </w:r>
      <w:bookmarkEnd w:id="7"/>
      <w:r>
        <w:rPr>
          <w:rFonts w:hint="eastAsia" w:ascii="仿宋" w:hAnsi="仿宋" w:eastAsia="仿宋" w:cs="仿宋"/>
          <w:b/>
          <w:bCs/>
          <w:color w:val="333333"/>
          <w:sz w:val="32"/>
          <w:szCs w:val="32"/>
          <w:u w:val="none"/>
          <w:lang w:val="en-US" w:eastAsia="zh-CN"/>
        </w:rPr>
        <w:t>临时安置与搬迁费补助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highlight w:val="none"/>
        </w:rPr>
      </w:pPr>
      <w:bookmarkStart w:id="8" w:name="_Toc19818"/>
      <w:r>
        <w:rPr>
          <w:rFonts w:hint="eastAsia" w:ascii="仿宋" w:hAnsi="仿宋" w:eastAsia="仿宋" w:cs="仿宋"/>
          <w:sz w:val="32"/>
          <w:szCs w:val="32"/>
          <w:highlight w:val="none"/>
        </w:rPr>
        <w:t>（一）</w:t>
      </w:r>
      <w:r>
        <w:rPr>
          <w:rFonts w:hint="eastAsia" w:ascii="仿宋" w:hAnsi="仿宋" w:eastAsia="仿宋" w:cs="仿宋"/>
          <w:sz w:val="32"/>
          <w:szCs w:val="32"/>
          <w:highlight w:val="none"/>
          <w:lang w:val="en-US" w:eastAsia="zh-CN"/>
        </w:rPr>
        <w:t>住宅类，</w:t>
      </w:r>
      <w:r>
        <w:rPr>
          <w:rFonts w:hint="eastAsia" w:ascii="仿宋" w:hAnsi="仿宋" w:eastAsia="仿宋" w:cs="仿宋"/>
          <w:sz w:val="32"/>
          <w:szCs w:val="32"/>
          <w:highlight w:val="none"/>
        </w:rPr>
        <w:t>临时安置费按每月每平方米20元一次性给予6个月的临时安置补助。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非住宅类，</w:t>
      </w:r>
      <w:r>
        <w:rPr>
          <w:rFonts w:hint="eastAsia" w:ascii="仿宋" w:hAnsi="仿宋" w:eastAsia="仿宋" w:cs="仿宋"/>
          <w:sz w:val="32"/>
          <w:szCs w:val="32"/>
          <w:highlight w:val="none"/>
        </w:rPr>
        <w:t>临时安置费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停工停业补偿费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按每月每平方米</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0元一次性给予6个月的临时安置补助。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）设备迁移补助费。固定电话、有线电视、电表、水表等迁移补助费1500元/户(宗)。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）搬迁费按签订补偿安置协议每户(宗)给予一次性每平方米40元搬迁补偿，不足3000元者按3000元计发。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）规模较大工厂、仓储、商务等另行协商处理。</w:t>
      </w:r>
    </w:p>
    <w:bookmarkEnd w:id="8"/>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0" w:beforeAutospacing="0" w:after="0" w:afterAutospacing="0" w:line="560" w:lineRule="exact"/>
        <w:ind w:right="0" w:firstLine="643" w:firstLineChars="200"/>
        <w:jc w:val="left"/>
        <w:rPr>
          <w:rFonts w:hint="eastAsia" w:ascii="仿宋" w:hAnsi="仿宋" w:eastAsia="仿宋" w:cs="仿宋"/>
          <w:b/>
          <w:bCs/>
          <w:color w:val="333333"/>
          <w:sz w:val="32"/>
          <w:szCs w:val="32"/>
          <w:u w:val="none"/>
          <w:lang w:val="en-US" w:eastAsia="zh-CN"/>
        </w:rPr>
      </w:pPr>
      <w:bookmarkStart w:id="9" w:name="_Toc19927"/>
      <w:r>
        <w:rPr>
          <w:rFonts w:hint="eastAsia" w:ascii="仿宋" w:hAnsi="仿宋" w:eastAsia="仿宋" w:cs="仿宋"/>
          <w:b/>
          <w:bCs/>
          <w:color w:val="333333"/>
          <w:sz w:val="32"/>
          <w:szCs w:val="32"/>
          <w:u w:val="none"/>
          <w:lang w:val="en-US" w:eastAsia="zh-CN"/>
        </w:rPr>
        <w:t>十四、其他相关规定</w:t>
      </w:r>
      <w:bookmarkEnd w:id="9"/>
      <w:r>
        <w:rPr>
          <w:rFonts w:hint="eastAsia" w:ascii="仿宋" w:hAnsi="仿宋" w:eastAsia="仿宋" w:cs="仿宋"/>
          <w:b/>
          <w:bCs/>
          <w:color w:val="333333"/>
          <w:sz w:val="32"/>
          <w:szCs w:val="32"/>
          <w:u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)房屋被依法征收的，其国有土地使用权同时收回。收回未进行建设的国有土地的，或征收未进行建设的集体土地的，按照有关法律规定和相关方案执行。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)有抵押权的被征收房屋，在征收期限内抵押人向抵押权人清偿债务，如抵押人不能清偿债务或不能与抵押权人重新达成抵押协议的，由抵押权人和抵押人依照法律法规的有关规定处理。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(三)被查封的房</w:t>
      </w:r>
      <w:r>
        <w:rPr>
          <w:rFonts w:hint="eastAsia" w:ascii="仿宋" w:hAnsi="仿宋" w:eastAsia="仿宋" w:cs="仿宋"/>
          <w:sz w:val="32"/>
          <w:szCs w:val="32"/>
          <w:lang w:val="en-US" w:eastAsia="zh-CN"/>
        </w:rPr>
        <w:t>地产</w:t>
      </w:r>
      <w:r>
        <w:rPr>
          <w:rFonts w:hint="eastAsia" w:ascii="仿宋" w:hAnsi="仿宋" w:eastAsia="仿宋" w:cs="仿宋"/>
          <w:sz w:val="32"/>
          <w:szCs w:val="32"/>
        </w:rPr>
        <w:t>，由房屋征收部门按照法律法规的有关规定处理。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)如被征收房屋存在租赁、典当及产权纠纷影响房屋征收补偿的，由当事人自行协定或依照法律法规的有关规定处理。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)依照法律法规的有关规定被认定为违法违规建筑的和超过批准期限的临时建筑，不予补偿。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0" w:beforeAutospacing="0" w:after="0" w:afterAutospacing="0" w:line="560" w:lineRule="exact"/>
        <w:ind w:right="0" w:firstLine="643" w:firstLineChars="200"/>
        <w:jc w:val="left"/>
        <w:rPr>
          <w:rFonts w:hint="eastAsia" w:ascii="仿宋" w:hAnsi="仿宋" w:eastAsia="仿宋" w:cs="仿宋"/>
          <w:b/>
          <w:bCs/>
          <w:color w:val="333333"/>
          <w:sz w:val="32"/>
          <w:szCs w:val="32"/>
          <w:u w:val="none"/>
          <w:lang w:val="en-US" w:eastAsia="zh-CN"/>
        </w:rPr>
      </w:pPr>
      <w:bookmarkStart w:id="10" w:name="_Toc30677"/>
      <w:r>
        <w:rPr>
          <w:rFonts w:hint="eastAsia" w:ascii="仿宋" w:hAnsi="仿宋" w:eastAsia="仿宋" w:cs="仿宋"/>
          <w:b/>
          <w:bCs/>
          <w:color w:val="333333"/>
          <w:sz w:val="32"/>
          <w:szCs w:val="32"/>
          <w:u w:val="none"/>
          <w:lang w:val="en-US" w:eastAsia="zh-CN"/>
        </w:rPr>
        <w:t>十五、不当行为不给予补偿</w:t>
      </w:r>
      <w:bookmarkEnd w:id="10"/>
      <w:r>
        <w:rPr>
          <w:rFonts w:hint="eastAsia" w:ascii="仿宋" w:hAnsi="仿宋" w:eastAsia="仿宋" w:cs="仿宋"/>
          <w:b/>
          <w:bCs/>
          <w:color w:val="333333"/>
          <w:sz w:val="32"/>
          <w:szCs w:val="32"/>
          <w:u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房屋征收范围确定后，不得在房屋征收范围内实施新建、扩建、改建，改变房屋和土地性质用途，买卖、租赁和抵押，户口迁入、分户，办理工商营业执照等不当增加补偿费用的行为；违反规定的，不予补偿并按相关规定给予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0" w:beforeAutospacing="0" w:after="0" w:afterAutospacing="0" w:line="560" w:lineRule="exact"/>
        <w:ind w:right="0" w:firstLine="643" w:firstLineChars="200"/>
        <w:jc w:val="left"/>
        <w:rPr>
          <w:rFonts w:hint="eastAsia" w:ascii="仿宋" w:hAnsi="仿宋" w:eastAsia="仿宋" w:cs="仿宋"/>
          <w:b/>
          <w:bCs/>
          <w:color w:val="333333"/>
          <w:sz w:val="32"/>
          <w:szCs w:val="32"/>
          <w:u w:val="none"/>
          <w:lang w:val="en-US" w:eastAsia="zh-CN"/>
        </w:rPr>
      </w:pPr>
      <w:bookmarkStart w:id="11" w:name="_Toc4092"/>
      <w:r>
        <w:rPr>
          <w:rFonts w:hint="eastAsia" w:ascii="仿宋" w:hAnsi="仿宋" w:eastAsia="仿宋" w:cs="仿宋"/>
          <w:b/>
          <w:bCs/>
          <w:color w:val="333333"/>
          <w:sz w:val="32"/>
          <w:szCs w:val="32"/>
          <w:u w:val="none"/>
          <w:lang w:val="en-US" w:eastAsia="zh-CN"/>
        </w:rPr>
        <w:t>十六、解决争议方式</w:t>
      </w:r>
      <w:bookmarkEnd w:id="11"/>
      <w:r>
        <w:rPr>
          <w:rFonts w:hint="eastAsia" w:ascii="仿宋" w:hAnsi="仿宋" w:eastAsia="仿宋" w:cs="仿宋"/>
          <w:b/>
          <w:bCs/>
          <w:color w:val="333333"/>
          <w:sz w:val="32"/>
          <w:szCs w:val="32"/>
          <w:u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房屋征收实施单位与被征收人在征收补偿方案确定的签约期限内达不成补偿协议，或者被征收房屋所有权人不明确的，由房屋征收实施单位报请作出房屋征收决定的区人民政府，按照本征收补偿方案作出补偿决定，并在房屋征收范围内予以公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被征收人对补偿决定不服的，可以依法申请行政复议，也可以依法提起行政诉讼。被征收人在法定期限内不申请行政复议或者不提起行政诉讼，在补偿决定规定的期限内又不搬迁的，由区人民政府催告被征收人履行义务，催告书送达十日后当事人仍未履行义务的，由区人民政府依法申请人民法院强制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(三)被征收人签约后，在约定的时间内拒绝腾空交房的，房屋征收部门可依法申请人民法院强制执行。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)被征收人</w:t>
      </w:r>
      <w:r>
        <w:rPr>
          <w:rFonts w:hint="eastAsia" w:ascii="仿宋" w:hAnsi="仿宋" w:eastAsia="仿宋" w:cs="仿宋"/>
          <w:sz w:val="32"/>
          <w:szCs w:val="32"/>
          <w:lang w:eastAsia="zh-CN"/>
        </w:rPr>
        <w:t>对房屋价值</w:t>
      </w:r>
      <w:r>
        <w:rPr>
          <w:rFonts w:hint="eastAsia" w:ascii="仿宋" w:hAnsi="仿宋" w:eastAsia="仿宋" w:cs="仿宋"/>
          <w:sz w:val="32"/>
          <w:szCs w:val="32"/>
        </w:rPr>
        <w:t>评估结果</w:t>
      </w:r>
      <w:r>
        <w:rPr>
          <w:rFonts w:hint="eastAsia" w:ascii="仿宋" w:hAnsi="仿宋" w:eastAsia="仿宋" w:cs="仿宋"/>
          <w:sz w:val="32"/>
          <w:szCs w:val="32"/>
          <w:lang w:eastAsia="zh-CN"/>
        </w:rPr>
        <w:t>有</w:t>
      </w:r>
      <w:r>
        <w:rPr>
          <w:rFonts w:hint="eastAsia" w:ascii="仿宋" w:hAnsi="仿宋" w:eastAsia="仿宋" w:cs="仿宋"/>
          <w:sz w:val="32"/>
          <w:szCs w:val="32"/>
        </w:rPr>
        <w:t>异议的</w:t>
      </w:r>
      <w:r>
        <w:rPr>
          <w:rFonts w:hint="eastAsia" w:ascii="仿宋" w:hAnsi="仿宋" w:eastAsia="仿宋" w:cs="仿宋"/>
          <w:sz w:val="32"/>
          <w:szCs w:val="32"/>
          <w:lang w:eastAsia="zh-CN"/>
        </w:rPr>
        <w:t>，</w:t>
      </w:r>
      <w:r>
        <w:rPr>
          <w:rFonts w:hint="eastAsia" w:ascii="仿宋" w:hAnsi="仿宋" w:eastAsia="仿宋" w:cs="仿宋"/>
          <w:sz w:val="32"/>
          <w:szCs w:val="32"/>
        </w:rPr>
        <w:t>可在十天内向评估机构书申请复核。如果对复核结果仍存有异议</w:t>
      </w:r>
      <w:r>
        <w:rPr>
          <w:rFonts w:hint="eastAsia" w:ascii="仿宋" w:hAnsi="仿宋" w:eastAsia="仿宋" w:cs="仿宋"/>
          <w:sz w:val="32"/>
          <w:szCs w:val="32"/>
          <w:lang w:eastAsia="zh-CN"/>
        </w:rPr>
        <w:t>，</w:t>
      </w:r>
      <w:r>
        <w:rPr>
          <w:rFonts w:hint="eastAsia" w:ascii="仿宋" w:hAnsi="仿宋" w:eastAsia="仿宋" w:cs="仿宋"/>
          <w:sz w:val="32"/>
          <w:szCs w:val="32"/>
        </w:rPr>
        <w:t>可在十天内向当地评估专家委员会申请鉴定。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0" w:beforeAutospacing="0" w:after="0" w:afterAutospacing="0" w:line="560" w:lineRule="exact"/>
        <w:ind w:right="0" w:firstLine="643" w:firstLineChars="200"/>
        <w:jc w:val="left"/>
        <w:rPr>
          <w:rFonts w:hint="eastAsia" w:ascii="仿宋" w:hAnsi="仿宋" w:eastAsia="仿宋" w:cs="仿宋"/>
          <w:b/>
          <w:bCs/>
          <w:color w:val="333333"/>
          <w:sz w:val="32"/>
          <w:szCs w:val="32"/>
          <w:u w:val="none"/>
          <w:lang w:val="en-US" w:eastAsia="zh-CN"/>
        </w:rPr>
      </w:pPr>
      <w:bookmarkStart w:id="12" w:name="_Toc32085"/>
      <w:r>
        <w:rPr>
          <w:rFonts w:hint="eastAsia" w:ascii="仿宋" w:hAnsi="仿宋" w:eastAsia="仿宋" w:cs="仿宋"/>
          <w:b/>
          <w:bCs/>
          <w:color w:val="333333"/>
          <w:sz w:val="32"/>
          <w:szCs w:val="32"/>
          <w:u w:val="none"/>
          <w:lang w:val="en-US" w:eastAsia="zh-CN"/>
        </w:rPr>
        <w:t>十七、未尽事宜</w:t>
      </w:r>
      <w:bookmarkEnd w:id="12"/>
      <w:r>
        <w:rPr>
          <w:rFonts w:hint="eastAsia" w:ascii="仿宋" w:hAnsi="仿宋" w:eastAsia="仿宋" w:cs="仿宋"/>
          <w:b/>
          <w:bCs/>
          <w:color w:val="333333"/>
          <w:sz w:val="32"/>
          <w:szCs w:val="32"/>
          <w:u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)未包含在上述所列的补偿项目的，按市、区有关文件精神执行。如需作为特殊个案处理的补偿项目，报区人民政府审批后再实施补偿。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)本方案未尽事宜，</w:t>
      </w:r>
      <w:r>
        <w:rPr>
          <w:rFonts w:hint="eastAsia" w:ascii="仿宋" w:hAnsi="仿宋" w:eastAsia="仿宋" w:cs="仿宋"/>
          <w:sz w:val="32"/>
          <w:szCs w:val="32"/>
          <w:lang w:val="en-US" w:eastAsia="zh-CN"/>
        </w:rPr>
        <w:t>按国家、省、市有关法律法规、规范性文件执行</w:t>
      </w:r>
      <w:bookmarkStart w:id="14" w:name="_GoBack"/>
      <w:bookmarkEnd w:id="14"/>
      <w:r>
        <w:rPr>
          <w:rFonts w:hint="eastAsia" w:ascii="仿宋" w:hAnsi="仿宋" w:eastAsia="仿宋" w:cs="仿宋"/>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0" w:beforeAutospacing="0" w:after="0" w:afterAutospacing="0" w:line="560" w:lineRule="exact"/>
        <w:ind w:right="0" w:firstLine="643" w:firstLineChars="200"/>
        <w:jc w:val="left"/>
        <w:rPr>
          <w:rFonts w:hint="eastAsia" w:ascii="仿宋" w:hAnsi="仿宋" w:eastAsia="仿宋" w:cs="仿宋"/>
          <w:b/>
          <w:bCs/>
          <w:color w:val="333333"/>
          <w:sz w:val="32"/>
          <w:szCs w:val="32"/>
          <w:u w:val="none"/>
          <w:lang w:val="en-US" w:eastAsia="zh-CN"/>
        </w:rPr>
      </w:pPr>
      <w:bookmarkStart w:id="13" w:name="_Toc27470"/>
      <w:r>
        <w:rPr>
          <w:rFonts w:hint="eastAsia" w:ascii="仿宋" w:hAnsi="仿宋" w:eastAsia="仿宋" w:cs="仿宋"/>
          <w:b/>
          <w:bCs/>
          <w:color w:val="333333"/>
          <w:sz w:val="32"/>
          <w:szCs w:val="32"/>
          <w:u w:val="none"/>
          <w:lang w:val="en-US" w:eastAsia="zh-CN"/>
        </w:rPr>
        <w:t>十八、解释权</w:t>
      </w:r>
      <w:bookmarkEnd w:id="13"/>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本补偿方案自印发</w:t>
      </w:r>
      <w:r>
        <w:rPr>
          <w:rFonts w:hint="eastAsia" w:ascii="仿宋" w:hAnsi="仿宋" w:eastAsia="仿宋" w:cs="仿宋"/>
          <w:sz w:val="32"/>
          <w:szCs w:val="32"/>
          <w:lang w:eastAsia="zh-CN"/>
        </w:rPr>
        <w:t>之日起</w:t>
      </w:r>
      <w:r>
        <w:rPr>
          <w:rFonts w:hint="eastAsia" w:ascii="仿宋" w:hAnsi="仿宋" w:eastAsia="仿宋" w:cs="仿宋"/>
          <w:sz w:val="32"/>
          <w:szCs w:val="32"/>
        </w:rPr>
        <w:t>施行，解释权由汕尾市城区人民政府委托汕尾市城区捷胜镇</w:t>
      </w:r>
      <w:r>
        <w:rPr>
          <w:rFonts w:hint="eastAsia" w:ascii="仿宋" w:hAnsi="仿宋" w:eastAsia="仿宋" w:cs="仿宋"/>
          <w:sz w:val="32"/>
          <w:szCs w:val="32"/>
          <w:lang w:val="en-US" w:eastAsia="zh-CN"/>
        </w:rPr>
        <w:t>人民政府</w:t>
      </w:r>
      <w:r>
        <w:rPr>
          <w:rFonts w:hint="eastAsia" w:ascii="仿宋" w:hAnsi="仿宋" w:eastAsia="仿宋" w:cs="仿宋"/>
          <w:sz w:val="32"/>
          <w:szCs w:val="32"/>
        </w:rPr>
        <w:t>负责解释。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FCBE"/>
    <w:multiLevelType w:val="singleLevel"/>
    <w:tmpl w:val="3E70FCB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ZDY4ODczOWMyMzQ4M2FiZjMzMTUzODM5Yzg1MmIifQ=="/>
  </w:docVars>
  <w:rsids>
    <w:rsidRoot w:val="201254AC"/>
    <w:rsid w:val="009A13B3"/>
    <w:rsid w:val="00CE5BF1"/>
    <w:rsid w:val="01020313"/>
    <w:rsid w:val="036E3B75"/>
    <w:rsid w:val="04905C77"/>
    <w:rsid w:val="056E10C0"/>
    <w:rsid w:val="115D229C"/>
    <w:rsid w:val="1857103B"/>
    <w:rsid w:val="1888270D"/>
    <w:rsid w:val="1F740E7B"/>
    <w:rsid w:val="201254AC"/>
    <w:rsid w:val="23DB2568"/>
    <w:rsid w:val="24D23A23"/>
    <w:rsid w:val="266A3DDE"/>
    <w:rsid w:val="26D233A7"/>
    <w:rsid w:val="291750BF"/>
    <w:rsid w:val="2B133327"/>
    <w:rsid w:val="2B7F799F"/>
    <w:rsid w:val="2FBD6DD2"/>
    <w:rsid w:val="3DC92CFC"/>
    <w:rsid w:val="3DDB1939"/>
    <w:rsid w:val="3DF323C8"/>
    <w:rsid w:val="3E4B6BDA"/>
    <w:rsid w:val="43AB7D36"/>
    <w:rsid w:val="443D1FA8"/>
    <w:rsid w:val="44E73A68"/>
    <w:rsid w:val="46967164"/>
    <w:rsid w:val="46AC21CF"/>
    <w:rsid w:val="498E5A84"/>
    <w:rsid w:val="4F0F6514"/>
    <w:rsid w:val="502344EE"/>
    <w:rsid w:val="51C21B99"/>
    <w:rsid w:val="54DB311A"/>
    <w:rsid w:val="55050666"/>
    <w:rsid w:val="5AD6509E"/>
    <w:rsid w:val="5BE70CF9"/>
    <w:rsid w:val="601069A0"/>
    <w:rsid w:val="678010D3"/>
    <w:rsid w:val="68E3372E"/>
    <w:rsid w:val="6C460FE2"/>
    <w:rsid w:val="721D7310"/>
    <w:rsid w:val="77581A79"/>
    <w:rsid w:val="77C47AB5"/>
    <w:rsid w:val="7A894455"/>
    <w:rsid w:val="7B4B06C3"/>
    <w:rsid w:val="7B8D3DD2"/>
    <w:rsid w:val="7D6E3312"/>
    <w:rsid w:val="7FA5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Lines="50"/>
      <w:jc w:val="center"/>
    </w:pPr>
    <w:rPr>
      <w:rFonts w:ascii="Arial" w:hAnsi="Arial" w:eastAsia="宋体"/>
      <w:sz w:val="28"/>
    </w:rPr>
  </w:style>
  <w:style w:type="paragraph" w:styleId="3">
    <w:name w:val="Normal Indent"/>
    <w:basedOn w:val="1"/>
    <w:next w:val="1"/>
    <w:qFormat/>
    <w:uiPriority w:val="0"/>
    <w:pPr>
      <w:ind w:firstLine="420"/>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Emphasis"/>
    <w:basedOn w:val="7"/>
    <w:qFormat/>
    <w:uiPriority w:val="0"/>
    <w:rPr>
      <w:i/>
    </w:rPr>
  </w:style>
  <w:style w:type="paragraph" w:customStyle="1" w:styleId="9">
    <w:name w:val="Body text|1"/>
    <w:basedOn w:val="1"/>
    <w:qFormat/>
    <w:uiPriority w:val="99"/>
    <w:pPr>
      <w:spacing w:line="391" w:lineRule="auto"/>
      <w:ind w:firstLine="400"/>
    </w:pPr>
    <w:rPr>
      <w:rFonts w:ascii="宋体" w:hAnsi="宋体" w:cs="宋体"/>
      <w:sz w:val="30"/>
      <w:szCs w:val="30"/>
      <w:lang w:val="zh-TW" w:eastAsia="zh-TW"/>
    </w:rPr>
  </w:style>
  <w:style w:type="character" w:customStyle="1" w:styleId="10">
    <w:name w:val="font7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3306</Words>
  <Characters>3412</Characters>
  <Lines>0</Lines>
  <Paragraphs>0</Paragraphs>
  <TotalTime>10</TotalTime>
  <ScaleCrop>false</ScaleCrop>
  <LinksUpToDate>false</LinksUpToDate>
  <CharactersWithSpaces>3430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2022-07-16T08:20:00Z</dcterms:created>
  <dc:creator>老吴</dc:creator>
  <cp:lastModifiedBy>WPS_1570163540</cp:lastModifiedBy>
  <cp:lastPrinted>2022-12-15T03:14:00Z</cp:lastPrinted>
  <dcterms:modified xsi:type="dcterms:W3CDTF">2022-12-23T03:35:16Z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4628D0F3AA79432AA8C17B5FF3155120</vt:lpwstr>
  </property>
</Properties>
</file>