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580" w:lineRule="exact"/>
        <w:rPr>
          <w:rFonts w:ascii="Times New Roman" w:hAnsi="Times New Roman" w:eastAsia="仿宋_GB2312" w:cs="Times New Roman"/>
          <w:b/>
          <w:sz w:val="32"/>
          <w:szCs w:val="32"/>
        </w:rPr>
      </w:pPr>
    </w:p>
    <w:p>
      <w:pPr>
        <w:snapToGrid w:val="0"/>
        <w:spacing w:line="580" w:lineRule="exact"/>
        <w:rPr>
          <w:rFonts w:ascii="Times New Roman" w:hAnsi="Times New Roman" w:eastAsia="仿宋_GB2312" w:cs="Times New Roman"/>
          <w:b/>
          <w:sz w:val="32"/>
          <w:szCs w:val="32"/>
        </w:rPr>
      </w:pPr>
    </w:p>
    <w:p>
      <w:pPr>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汕尾市城区人口发展规划（2020-2035年）</w:t>
      </w:r>
    </w:p>
    <w:p>
      <w:pPr>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征求意见稿</w:t>
      </w:r>
      <w:bookmarkStart w:id="61" w:name="_GoBack"/>
      <w:bookmarkEnd w:id="61"/>
      <w:r>
        <w:rPr>
          <w:rFonts w:ascii="Times New Roman" w:hAnsi="Times New Roman" w:eastAsia="方正小标宋简体" w:cs="Times New Roman"/>
          <w:sz w:val="44"/>
          <w:szCs w:val="44"/>
        </w:rPr>
        <w:t>）</w:t>
      </w: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600" w:lineRule="exact"/>
        <w:jc w:val="center"/>
        <w:rPr>
          <w:rFonts w:ascii="Times New Roman" w:hAnsi="Times New Roman" w:eastAsia="方正小标宋简体" w:cs="Times New Roman"/>
          <w:sz w:val="44"/>
          <w:szCs w:val="44"/>
        </w:rPr>
      </w:pPr>
    </w:p>
    <w:p>
      <w:pPr>
        <w:snapToGrid w:val="0"/>
        <w:spacing w:line="580" w:lineRule="exact"/>
        <w:jc w:val="center"/>
        <w:rPr>
          <w:rFonts w:hint="eastAsia" w:ascii="Times New Roman" w:hAnsi="Times New Roman" w:eastAsia="仿宋_GB2312" w:cs="Times New Roman"/>
          <w:b/>
          <w:sz w:val="32"/>
          <w:szCs w:val="32"/>
        </w:rPr>
      </w:pPr>
    </w:p>
    <w:p>
      <w:pPr>
        <w:snapToGrid w:val="0"/>
        <w:spacing w:line="580" w:lineRule="exact"/>
        <w:jc w:val="center"/>
        <w:rPr>
          <w:rFonts w:hint="eastAsia" w:ascii="Times New Roman" w:hAnsi="Times New Roman" w:eastAsia="仿宋_GB2312" w:cs="Times New Roman"/>
          <w:b/>
          <w:sz w:val="32"/>
          <w:szCs w:val="32"/>
        </w:rPr>
      </w:pPr>
    </w:p>
    <w:p>
      <w:pPr>
        <w:snapToGrid w:val="0"/>
        <w:spacing w:line="58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前 </w:t>
      </w:r>
      <w:r>
        <w:rPr>
          <w:rFonts w:ascii="Times New Roman" w:hAnsi="Times New Roman" w:eastAsia="仿宋_GB2312" w:cs="Times New Roman"/>
          <w:b/>
          <w:sz w:val="32"/>
          <w:szCs w:val="32"/>
        </w:rPr>
        <w:t xml:space="preserve"> </w:t>
      </w:r>
      <w:r>
        <w:rPr>
          <w:rFonts w:hint="eastAsia" w:ascii="Times New Roman" w:hAnsi="Times New Roman" w:eastAsia="仿宋_GB2312" w:cs="Times New Roman"/>
          <w:b/>
          <w:sz w:val="32"/>
          <w:szCs w:val="32"/>
        </w:rPr>
        <w:t>言</w:t>
      </w:r>
    </w:p>
    <w:p>
      <w:pPr>
        <w:pStyle w:val="2"/>
        <w:rPr>
          <w:lang w:eastAsia="zh-CN"/>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口问题始终是我国面临的全局性、长期性、战略性问题。加强人口发展的前瞻性、战略性研究，有针对性地制定人口相关战略和政策，是推动人口高质量发展的重中之重。为积极有效应对汕尾市城区人口变化对经济社会发展的深刻影响，实现人口高质量均衡发展。根据汕尾市城区发改局2021年8月印发的《关于落实市、城区“十四五”专项规划责任分工方案的通知》，在对接汕尾市2022年1月印发《汕尾市人口发展规划（2020-2035年）》相关工作要求的基础上，规划组编制了《汕尾市城区人口发展规划（2020-2035年）》（以下简称规划），明确了城区未来人口发展的机遇挑战、发展思路、发展目标、重点任务，为全面做好汕尾市城区人口工作、促进人口长期均衡发展提供指引，同时为全区经济社会高质量发展提供人才支撑。</w:t>
      </w:r>
    </w:p>
    <w:p>
      <w:pPr>
        <w:spacing w:line="560" w:lineRule="exact"/>
        <w:ind w:firstLine="640" w:firstLineChars="200"/>
        <w:rPr>
          <w:rFonts w:hint="eastAsia" w:ascii="仿宋_GB2312" w:hAnsi="仿宋" w:eastAsia="仿宋_GB2312"/>
          <w:sz w:val="32"/>
          <w:szCs w:val="32"/>
        </w:rPr>
        <w:sectPr>
          <w:pgSz w:w="11906" w:h="16838"/>
          <w:pgMar w:top="2098" w:right="1474" w:bottom="1985" w:left="1588" w:header="851" w:footer="992" w:gutter="0"/>
          <w:cols w:space="425" w:num="1"/>
          <w:docGrid w:type="linesAndChars" w:linePitch="312" w:charSpace="0"/>
        </w:sectPr>
      </w:pPr>
      <w:r>
        <w:rPr>
          <w:rFonts w:hint="eastAsia" w:ascii="仿宋_GB2312" w:hAnsi="仿宋" w:eastAsia="仿宋_GB2312"/>
          <w:sz w:val="32"/>
          <w:szCs w:val="32"/>
        </w:rPr>
        <w:t>《规划》在制定过程中，项目组全面调研了全区人口发展现状和问题，并根据城区实际发展需求，结合国家、省、市在人口发展战略、人口政策服务、生命质量改善、人才平台搭建、银龄计划行动、人口数智化治理等相关规划和政策要求进行细化设计，以期更有效地贯彻落实国家省市人口最新政策要求，切实促进当地人口与经济社会、资源环境协调可持续发展，为全面建设城区提供坚实基础和持久动力。</w:t>
      </w:r>
    </w:p>
    <w:p>
      <w:pPr>
        <w:adjustRightInd w:val="0"/>
        <w:snapToGrid w:val="0"/>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目  录</w:t>
      </w:r>
    </w:p>
    <w:p>
      <w:pPr>
        <w:adjustRightInd w:val="0"/>
        <w:snapToGrid w:val="0"/>
        <w:spacing w:line="580" w:lineRule="exact"/>
        <w:rPr>
          <w:rFonts w:ascii="Times New Roman" w:hAnsi="Times New Roman" w:eastAsia="仿宋_GB2312" w:cs="Times New Roman"/>
          <w:sz w:val="32"/>
          <w:szCs w:val="32"/>
        </w:rPr>
      </w:pPr>
    </w:p>
    <w:p>
      <w:pPr>
        <w:pStyle w:val="13"/>
        <w:tabs>
          <w:tab w:val="right" w:leader="dot" w:pos="8834"/>
        </w:tabs>
        <w:spacing w:line="600" w:lineRule="exact"/>
        <w:ind w:left="210" w:leftChars="100"/>
        <w:rPr>
          <w:rFonts w:ascii="Times New Roman" w:hAnsi="Times New Roman" w:eastAsia="楷体_GB2312" w:cs="Times New Roman"/>
          <w:sz w:val="30"/>
          <w:szCs w:val="30"/>
        </w:rPr>
      </w:pP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TOC \o "1-3" \u </w:instrText>
      </w:r>
      <w:r>
        <w:rPr>
          <w:rFonts w:ascii="Times New Roman" w:hAnsi="Times New Roman" w:eastAsia="楷体_GB2312" w:cs="Times New Roman"/>
          <w:sz w:val="30"/>
          <w:szCs w:val="30"/>
        </w:rPr>
        <w:fldChar w:fldCharType="separate"/>
      </w:r>
      <w:r>
        <w:rPr>
          <w:rFonts w:ascii="Times New Roman" w:hAnsi="Times New Roman" w:eastAsia="黑体" w:cs="Times New Roman"/>
          <w:sz w:val="30"/>
          <w:szCs w:val="30"/>
        </w:rPr>
        <w:t>一、规划背景</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_Toc142666135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（一）人口发展现状</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_Toc142666136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（二）人口发展趋势</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_Toc142666137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- 11 -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（三）人口发展面临的问题和挑战</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_Toc142666138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- 14 -</w:t>
      </w:r>
      <w:r>
        <w:rPr>
          <w:rFonts w:ascii="Times New Roman" w:hAnsi="Times New Roman" w:eastAsia="楷体_GB2312" w:cs="Times New Roman"/>
          <w:sz w:val="30"/>
          <w:szCs w:val="30"/>
        </w:rPr>
        <w:fldChar w:fldCharType="end"/>
      </w:r>
    </w:p>
    <w:p>
      <w:pPr>
        <w:pStyle w:val="13"/>
        <w:tabs>
          <w:tab w:val="right" w:leader="dot" w:pos="8834"/>
        </w:tabs>
        <w:spacing w:line="600" w:lineRule="exact"/>
        <w:ind w:left="210" w:leftChars="100"/>
        <w:rPr>
          <w:rFonts w:ascii="Times New Roman" w:hAnsi="Times New Roman" w:eastAsia="楷体_GB2312" w:cs="Times New Roman"/>
          <w:sz w:val="30"/>
          <w:szCs w:val="30"/>
        </w:rPr>
      </w:pPr>
      <w:r>
        <w:rPr>
          <w:rFonts w:ascii="Times New Roman" w:hAnsi="Times New Roman" w:eastAsia="黑体" w:cs="Times New Roman"/>
          <w:sz w:val="30"/>
          <w:szCs w:val="30"/>
        </w:rPr>
        <w:t>二、总体思路</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_Toc142666139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- 15 -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（一）指导思想</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_Toc142666140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- 15 -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（二）基本原则</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_Toc142666141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- 16 -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（三）主要目标</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_Toc142666142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- 17 -</w:t>
      </w:r>
      <w:r>
        <w:rPr>
          <w:rFonts w:ascii="Times New Roman" w:hAnsi="Times New Roman" w:eastAsia="楷体_GB2312" w:cs="Times New Roman"/>
          <w:sz w:val="30"/>
          <w:szCs w:val="30"/>
        </w:rPr>
        <w:fldChar w:fldCharType="end"/>
      </w:r>
    </w:p>
    <w:p>
      <w:pPr>
        <w:pStyle w:val="13"/>
        <w:tabs>
          <w:tab w:val="right" w:leader="dot" w:pos="8834"/>
        </w:tabs>
        <w:spacing w:line="600" w:lineRule="exact"/>
        <w:ind w:left="210" w:leftChars="100"/>
        <w:rPr>
          <w:rFonts w:ascii="Times New Roman" w:hAnsi="Times New Roman" w:eastAsia="楷体_GB2312" w:cs="Times New Roman"/>
          <w:sz w:val="30"/>
          <w:szCs w:val="30"/>
        </w:rPr>
      </w:pPr>
      <w:r>
        <w:rPr>
          <w:rFonts w:ascii="Times New Roman" w:hAnsi="Times New Roman" w:eastAsia="黑体" w:cs="Times New Roman"/>
          <w:sz w:val="30"/>
          <w:szCs w:val="30"/>
        </w:rPr>
        <w:t>三、重点任务</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_Toc142666143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- 20 -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（一）完善政策服务，企稳人口规模势能</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_Toc142666144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- 20 -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1.完善生育配套政策支持</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_Toc142666145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- 20 -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2.优化生育全程服务管理</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_Toc142666146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- 22 -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3.营造生育友好社会氛围</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_Toc142666147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- 23 -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楷体_GB2312" w:cs="Times New Roman"/>
          <w:sz w:val="30"/>
          <w:szCs w:val="30"/>
        </w:rPr>
      </w:pPr>
      <w:r>
        <w:rPr>
          <w:rFonts w:ascii="Times New Roman" w:hAnsi="Times New Roman" w:eastAsia="仿宋_GB2312" w:cs="Times New Roman"/>
          <w:sz w:val="30"/>
          <w:szCs w:val="30"/>
        </w:rPr>
        <w:t>4.保持生育水平动态调节</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_Toc142666148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- 24 -</w:t>
      </w:r>
      <w:r>
        <w:rPr>
          <w:rFonts w:ascii="Times New Roman" w:hAnsi="Times New Roman" w:eastAsia="楷体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（二）改善生命质量，推动人口高质发展</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_Toc142666149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- 25 -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1.提高出生人口健康素质</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- 25 -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2.持续提升全民健康素养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- 26 -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3.提升城乡医疗保险质量</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- 28 -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4.教育助推人口持续发展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- 31 -</w:t>
      </w:r>
      <w:r>
        <w:rPr>
          <w:rFonts w:ascii="Times New Roman" w:hAnsi="Times New Roman" w:eastAsia="仿宋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（三）优化空间布局，促进人口高效集聚</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_Toc142666154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- 32 -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1.建立城乡立体人口分布</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- 32 -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2.促进城乡居民融合发展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- 33 -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3.加强流动人口管理服务</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- 35 -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4.促进人口绿色宜居发展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_Toc142666158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- 36 -</w:t>
      </w:r>
      <w:r>
        <w:rPr>
          <w:rFonts w:ascii="Times New Roman" w:hAnsi="Times New Roman" w:eastAsia="仿宋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（四）搭建成长平台，赋能人才有效供给</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_Toc142666159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- 38 -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1.健全就业创业服务体系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- 38 -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2.多元激活招才引智动能</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- 40 -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3.提升职业技能培训帮扶</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- 43 -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4.优化人才培育发展环境</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- 43 -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5.营造青年优先发展氛围</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- 44 -</w:t>
      </w:r>
      <w:r>
        <w:rPr>
          <w:rFonts w:ascii="Times New Roman" w:hAnsi="Times New Roman" w:eastAsia="仿宋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（五）关爱重点人群，共享社会发展成果</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_Toc142666165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- 45 -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1.促进妇女健康全面发展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- 45 -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2.实施未成年人保护计划</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- 47 -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3.强化困难群众社会救助</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- 49 -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4.加强残疾群体关爱互助</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_Toc142666169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- 50 -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5.关爱特殊社会群体生活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- 51 -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6.完善退役军人保障体系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- 52 -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260" w:leftChars="600"/>
        <w:rPr>
          <w:rFonts w:ascii="Times New Roman" w:hAnsi="Times New Roman" w:eastAsia="仿宋_GB2312" w:cs="Times New Roman"/>
          <w:sz w:val="30"/>
          <w:szCs w:val="30"/>
        </w:rPr>
      </w:pPr>
      <w:r>
        <w:rPr>
          <w:rFonts w:ascii="Times New Roman" w:hAnsi="Times New Roman" w:eastAsia="仿宋_GB2312" w:cs="Times New Roman"/>
          <w:sz w:val="30"/>
          <w:szCs w:val="30"/>
        </w:rPr>
        <w:t>7.建立脱贫人口监测机制</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- 52 -</w:t>
      </w:r>
      <w:r>
        <w:rPr>
          <w:rFonts w:ascii="Times New Roman" w:hAnsi="Times New Roman" w:eastAsia="仿宋_GB2312" w:cs="Times New Roman"/>
          <w:sz w:val="30"/>
          <w:szCs w:val="30"/>
        </w:rPr>
        <w:fldChar w:fldCharType="end"/>
      </w:r>
    </w:p>
    <w:p>
      <w:pPr>
        <w:pStyle w:val="14"/>
        <w:tabs>
          <w:tab w:val="right" w:leader="dot" w:pos="8834"/>
        </w:tabs>
        <w:spacing w:line="600" w:lineRule="exact"/>
        <w:ind w:left="630" w:leftChars="300"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（六）开展银龄行动，积极应对老龄趋势</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_Toc142666173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- 53 -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1.完善养老社会保障制度</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- 53 -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2.推动养老服务提质增效</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- 54 -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3.积极开发老年人力资源</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- 56 -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4.大力发展银发产业经济</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- 57 -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5.积极打造老年友好社会</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_Toc142666178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- 59 -</w:t>
      </w:r>
      <w:r>
        <w:rPr>
          <w:rFonts w:ascii="Times New Roman" w:hAnsi="Times New Roman" w:eastAsia="仿宋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（七）增强家庭服务，提升家庭发展能力</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_Toc142666179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- 59 -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1.完善家庭服务支撑体系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- 59 -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2.增强家庭服务产业发展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- 61 -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3.提升家庭自我发展能力</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- 62 -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4.传承良好家庭家教家风</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- 64 -</w:t>
      </w:r>
      <w:r>
        <w:rPr>
          <w:rFonts w:ascii="Times New Roman" w:hAnsi="Times New Roman" w:eastAsia="仿宋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（八）加快数字改造，实现人口数智治理</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_Toc142666184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- 64 -</w:t>
      </w:r>
      <w:r>
        <w:rPr>
          <w:rFonts w:ascii="Times New Roman" w:hAnsi="Times New Roman" w:eastAsia="楷体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1.加强人口基础信息建设</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- 64 -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2.推动人口信息数智管理</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- 65 -</w:t>
      </w:r>
      <w:r>
        <w:rPr>
          <w:rFonts w:ascii="Times New Roman" w:hAnsi="Times New Roman" w:eastAsia="仿宋_GB2312" w:cs="Times New Roman"/>
          <w:sz w:val="30"/>
          <w:szCs w:val="30"/>
        </w:rPr>
        <w:fldChar w:fldCharType="end"/>
      </w:r>
    </w:p>
    <w:p>
      <w:pPr>
        <w:pStyle w:val="9"/>
        <w:tabs>
          <w:tab w:val="right" w:leader="dot" w:pos="8834"/>
        </w:tabs>
        <w:spacing w:line="600" w:lineRule="exact"/>
        <w:ind w:left="1050" w:leftChars="500"/>
        <w:rPr>
          <w:rFonts w:ascii="Times New Roman" w:hAnsi="Times New Roman" w:eastAsia="仿宋_GB2312" w:cs="Times New Roman"/>
          <w:sz w:val="30"/>
          <w:szCs w:val="30"/>
        </w:rPr>
      </w:pPr>
      <w:r>
        <w:rPr>
          <w:rFonts w:ascii="Times New Roman" w:hAnsi="Times New Roman" w:eastAsia="仿宋_GB2312" w:cs="Times New Roman"/>
          <w:sz w:val="30"/>
          <w:szCs w:val="30"/>
        </w:rPr>
        <w:t>3.优化人口社会治理机制</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_Toc142666187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- 66 -</w:t>
      </w:r>
      <w:r>
        <w:rPr>
          <w:rFonts w:ascii="Times New Roman" w:hAnsi="Times New Roman" w:eastAsia="仿宋_GB2312" w:cs="Times New Roman"/>
          <w:sz w:val="30"/>
          <w:szCs w:val="30"/>
        </w:rPr>
        <w:fldChar w:fldCharType="end"/>
      </w:r>
    </w:p>
    <w:p>
      <w:pPr>
        <w:pStyle w:val="13"/>
        <w:tabs>
          <w:tab w:val="right" w:leader="dot" w:pos="8834"/>
        </w:tabs>
        <w:spacing w:line="600" w:lineRule="exact"/>
        <w:rPr>
          <w:rFonts w:ascii="Times New Roman" w:hAnsi="Times New Roman" w:eastAsia="楷体_GB2312" w:cs="Times New Roman"/>
          <w:sz w:val="30"/>
          <w:szCs w:val="30"/>
        </w:rPr>
      </w:pPr>
      <w:r>
        <w:rPr>
          <w:rFonts w:ascii="Times New Roman" w:hAnsi="Times New Roman" w:eastAsia="黑体" w:cs="Times New Roman"/>
          <w:sz w:val="30"/>
          <w:szCs w:val="30"/>
        </w:rPr>
        <w:t>四、保障措施</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_Toc142666188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- 67 -</w:t>
      </w:r>
      <w:r>
        <w:rPr>
          <w:rFonts w:ascii="Times New Roman" w:hAnsi="Times New Roman" w:eastAsia="楷体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（一）加强组织领导工作</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_Toc142666189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- 67 -</w:t>
      </w:r>
      <w:r>
        <w:rPr>
          <w:rFonts w:ascii="Times New Roman" w:hAnsi="Times New Roman" w:eastAsia="楷体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（二）加大人口事业投入</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_Toc142666190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- 68 -</w:t>
      </w:r>
      <w:r>
        <w:rPr>
          <w:rFonts w:ascii="Times New Roman" w:hAnsi="Times New Roman" w:eastAsia="楷体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（三）注重人口监测预警</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_Toc142666191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- 68 -</w:t>
      </w:r>
      <w:r>
        <w:rPr>
          <w:rFonts w:ascii="Times New Roman" w:hAnsi="Times New Roman" w:eastAsia="楷体_GB2312" w:cs="Times New Roman"/>
          <w:sz w:val="30"/>
          <w:szCs w:val="30"/>
        </w:rPr>
        <w:fldChar w:fldCharType="end"/>
      </w:r>
    </w:p>
    <w:p>
      <w:pPr>
        <w:pStyle w:val="14"/>
        <w:tabs>
          <w:tab w:val="right" w:leader="dot" w:pos="8834"/>
        </w:tabs>
        <w:spacing w:line="600" w:lineRule="exact"/>
        <w:ind w:firstLine="300"/>
        <w:rPr>
          <w:rFonts w:ascii="Times New Roman" w:hAnsi="Times New Roman" w:eastAsia="楷体_GB2312" w:cs="Times New Roman"/>
          <w:sz w:val="30"/>
          <w:szCs w:val="30"/>
        </w:rPr>
      </w:pPr>
      <w:r>
        <w:rPr>
          <w:rFonts w:ascii="Times New Roman" w:hAnsi="Times New Roman" w:eastAsia="楷体_GB2312" w:cs="Times New Roman"/>
          <w:sz w:val="30"/>
          <w:szCs w:val="30"/>
        </w:rPr>
        <w:t>（四）做好宣传教育引导</w:t>
      </w:r>
      <w:r>
        <w:rPr>
          <w:rFonts w:ascii="Times New Roman" w:hAnsi="Times New Roman" w:eastAsia="楷体_GB2312" w:cs="Times New Roman"/>
          <w:sz w:val="30"/>
          <w:szCs w:val="30"/>
        </w:rPr>
        <w:tab/>
      </w:r>
      <w:r>
        <w:rPr>
          <w:rFonts w:ascii="Times New Roman" w:hAnsi="Times New Roman" w:eastAsia="楷体_GB2312" w:cs="Times New Roman"/>
          <w:sz w:val="30"/>
          <w:szCs w:val="30"/>
        </w:rPr>
        <w:fldChar w:fldCharType="begin"/>
      </w:r>
      <w:r>
        <w:rPr>
          <w:rFonts w:ascii="Times New Roman" w:hAnsi="Times New Roman" w:eastAsia="楷体_GB2312" w:cs="Times New Roman"/>
          <w:sz w:val="30"/>
          <w:szCs w:val="30"/>
        </w:rPr>
        <w:instrText xml:space="preserve"> PAGEREF _Toc142666192 \h </w:instrText>
      </w:r>
      <w:r>
        <w:rPr>
          <w:rFonts w:ascii="Times New Roman" w:hAnsi="Times New Roman" w:eastAsia="楷体_GB2312" w:cs="Times New Roman"/>
          <w:sz w:val="30"/>
          <w:szCs w:val="30"/>
        </w:rPr>
        <w:fldChar w:fldCharType="separate"/>
      </w:r>
      <w:r>
        <w:rPr>
          <w:rFonts w:ascii="Times New Roman" w:hAnsi="Times New Roman" w:eastAsia="楷体_GB2312" w:cs="Times New Roman"/>
          <w:sz w:val="30"/>
          <w:szCs w:val="30"/>
        </w:rPr>
        <w:t>- 68 -</w:t>
      </w:r>
      <w:r>
        <w:rPr>
          <w:rFonts w:ascii="Times New Roman" w:hAnsi="Times New Roman" w:eastAsia="楷体_GB2312" w:cs="Times New Roman"/>
          <w:sz w:val="30"/>
          <w:szCs w:val="30"/>
        </w:rPr>
        <w:fldChar w:fldCharType="end"/>
      </w:r>
    </w:p>
    <w:p>
      <w:pPr>
        <w:pStyle w:val="14"/>
        <w:adjustRightInd w:val="0"/>
        <w:snapToGrid w:val="0"/>
        <w:spacing w:line="600" w:lineRule="exact"/>
        <w:ind w:firstLine="300"/>
        <w:rPr>
          <w:rFonts w:ascii="Times New Roman" w:hAnsi="Times New Roman" w:eastAsia="仿宋_GB2312" w:cs="Times New Roman"/>
        </w:rPr>
        <w:sectPr>
          <w:headerReference r:id="rId5" w:type="default"/>
          <w:pgSz w:w="11906" w:h="16838"/>
          <w:pgMar w:top="2098" w:right="1474" w:bottom="1985" w:left="1588" w:header="851" w:footer="992" w:gutter="0"/>
          <w:cols w:space="425" w:num="1"/>
          <w:docGrid w:type="linesAndChars" w:linePitch="312" w:charSpace="0"/>
        </w:sectPr>
      </w:pPr>
      <w:r>
        <w:rPr>
          <w:rFonts w:ascii="Times New Roman" w:hAnsi="Times New Roman" w:eastAsia="楷体_GB2312" w:cs="Times New Roman"/>
          <w:sz w:val="30"/>
          <w:szCs w:val="30"/>
        </w:rPr>
        <w:fldChar w:fldCharType="end"/>
      </w:r>
    </w:p>
    <w:p>
      <w:pPr>
        <w:widowControl/>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人口问题是经济社会发展的基础性、战略性和全局性问题。未来十五年是我国人口发展的深度转型阶段，是人口发展的内在动力和外部条件发生重要变化的特殊时期，对我国未来经济社会发展具有重要影响。为积极有效应对人口的趋势性变化，全面做好人口工作，促进人口长期均衡发展，为汕尾市城区经济社会发展的宏观决策提供基础支撑，根据《国家人口发展规划（2016-2030年）》《广东省人口发展规划</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2017-2030年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汕尾市人口发展规划（2020-2035年）》，编制《汕尾市城区人口发展规划（2020-2035年）》。本规划在全面总结过去十年人口发展情况的基础上，阐明汕尾市城区人口发展现状、未来十五年发展趋势、面临的机遇与挑战、总体思路、重点任务和保障措施，是汕尾市城区未来十五年人口发展的行动纲领。</w:t>
      </w:r>
    </w:p>
    <w:p>
      <w:pPr>
        <w:adjustRightInd w:val="0"/>
        <w:snapToGrid w:val="0"/>
        <w:spacing w:line="580" w:lineRule="exact"/>
        <w:ind w:firstLine="640" w:firstLineChars="200"/>
        <w:outlineLvl w:val="0"/>
        <w:rPr>
          <w:rFonts w:ascii="Times New Roman" w:hAnsi="Times New Roman" w:eastAsia="黑体" w:cs="Times New Roman"/>
          <w:sz w:val="32"/>
          <w:szCs w:val="32"/>
        </w:rPr>
      </w:pPr>
      <w:bookmarkStart w:id="0" w:name="_Toc142666135"/>
      <w:r>
        <w:rPr>
          <w:rFonts w:ascii="Times New Roman" w:hAnsi="Times New Roman" w:eastAsia="黑体" w:cs="Times New Roman"/>
          <w:sz w:val="32"/>
          <w:szCs w:val="32"/>
        </w:rPr>
        <w:t>一、规划背景</w:t>
      </w:r>
      <w:bookmarkEnd w:id="0"/>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1" w:name="_Toc142666136"/>
      <w:r>
        <w:rPr>
          <w:rFonts w:ascii="Times New Roman" w:hAnsi="Times New Roman" w:eastAsia="楷体_GB2312" w:cs="Times New Roman"/>
          <w:sz w:val="32"/>
          <w:szCs w:val="32"/>
        </w:rPr>
        <w:t>（一）人口发展现状</w:t>
      </w:r>
      <w:bookmarkEnd w:id="1"/>
    </w:p>
    <w:p>
      <w:pPr>
        <w:adjustRightInd w:val="0"/>
        <w:snapToGrid w:val="0"/>
        <w:spacing w:line="580" w:lineRule="exact"/>
        <w:ind w:firstLine="640" w:firstLineChars="200"/>
        <w:rPr>
          <w:rFonts w:ascii="Times New Roman" w:hAnsi="Times New Roman" w:cs="Times New Roman"/>
          <w:lang w:eastAsia="zh-CN"/>
        </w:rPr>
      </w:pPr>
      <w:r>
        <w:rPr>
          <w:rFonts w:ascii="Times New Roman" w:hAnsi="Times New Roman" w:eastAsia="仿宋_GB2312" w:cs="Times New Roman"/>
          <w:b/>
          <w:bCs/>
          <w:sz w:val="32"/>
          <w:szCs w:val="32"/>
        </w:rPr>
        <w:t>人口规模下降趋势明显</w:t>
      </w:r>
      <w:r>
        <w:rPr>
          <w:rFonts w:ascii="Times New Roman" w:hAnsi="Times New Roman" w:eastAsia="仿宋_GB2312" w:cs="Times New Roman"/>
          <w:sz w:val="32"/>
          <w:szCs w:val="32"/>
        </w:rPr>
        <w:t>。据历年统计年鉴公布的数据显示，近十年，汕尾市城区常住人口总量和户籍人口总量均出现持续下降。其中，2020年，全区年末常住人口39.44万人，较2010年的40.67万人，十年共减少1.23万人，下降</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但在全市总人口中的比重，由2010年的14.15%，上升到2020年的14.77%。从户籍人口变化情况来看，全区年末户籍人口38.98万人，较2010年的39.36万人，十年共减少0.38万人，下降0.97%。在全市总人口中的比重，由2010年的11.41%，下降到2020年的10.71%。</w:t>
      </w:r>
    </w:p>
    <w:p>
      <w:pPr>
        <w:jc w:val="center"/>
        <w:rPr>
          <w:rFonts w:ascii="Times New Roman" w:hAnsi="Times New Roman" w:cs="Times New Roman"/>
        </w:rPr>
      </w:pPr>
      <w:r>
        <w:drawing>
          <wp:inline distT="0" distB="0" distL="0" distR="0">
            <wp:extent cx="5615940" cy="2979420"/>
            <wp:effectExtent l="4445" t="4445" r="1841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400" w:lineRule="atLeast"/>
        <w:jc w:val="cente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图1  2010-2020年全区年末人口规模变化情况</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数据来源：《汕尾市统计年鉴2021》</w:t>
      </w:r>
    </w:p>
    <w:p>
      <w:pPr>
        <w:pStyle w:val="2"/>
        <w:spacing w:line="580" w:lineRule="exact"/>
        <w:ind w:left="108"/>
        <w:rPr>
          <w:rFonts w:ascii="Times New Roman" w:hAnsi="Times New Roman" w:cs="Times New Roman"/>
          <w:lang w:eastAsia="zh-CN"/>
        </w:rPr>
      </w:pPr>
    </w:p>
    <w:p>
      <w:pPr>
        <w:pStyle w:val="2"/>
        <w:adjustRightInd w:val="0"/>
        <w:snapToGrid w:val="0"/>
        <w:spacing w:line="580" w:lineRule="exact"/>
        <w:ind w:left="108"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人口分布城镇化进程加快。</w:t>
      </w:r>
      <w:r>
        <w:rPr>
          <w:rFonts w:ascii="Times New Roman" w:hAnsi="Times New Roman" w:eastAsia="仿宋_GB2312" w:cs="Times New Roman"/>
          <w:sz w:val="32"/>
          <w:szCs w:val="32"/>
          <w:lang w:eastAsia="zh-CN"/>
        </w:rPr>
        <w:t>第七次全国人口普查数据显示，2020年，全区常住人口中，居住在城镇的人口为32.23万人，占81.68%，高于全市和全省平均水平（分别为57.12%、74.15%）；居住在乡村的人口为7.23万人，占18.32%。与2010年相比，城镇人口增加0.68万人，乡村人口减少1.88万人，城镇人口比重提高4.09个百分点，人口向城镇集中趋势明显。</w:t>
      </w:r>
    </w:p>
    <w:p>
      <w:pPr>
        <w:spacing w:line="580" w:lineRule="exact"/>
        <w:rPr>
          <w:rFonts w:ascii="Times New Roman" w:hAnsi="Times New Roman" w:cs="Times New Roman"/>
        </w:rPr>
      </w:pPr>
    </w:p>
    <w:p>
      <w:pPr>
        <w:pStyle w:val="2"/>
        <w:rPr>
          <w:lang w:eastAsia="zh-CN"/>
        </w:rPr>
      </w:pPr>
    </w:p>
    <w:p>
      <w:pPr>
        <w:jc w:val="center"/>
        <w:rPr>
          <w:rFonts w:ascii="Times New Roman" w:hAnsi="Times New Roman" w:cs="Times New Roman"/>
        </w:rPr>
      </w:pPr>
      <w:r>
        <w:rPr>
          <w:rFonts w:ascii="Times New Roman" w:hAnsi="Times New Roman" w:cs="Times New Roman"/>
        </w:rPr>
        <w:drawing>
          <wp:inline distT="0" distB="0" distL="0" distR="0">
            <wp:extent cx="5626100" cy="2746375"/>
            <wp:effectExtent l="0" t="0" r="12700" b="1206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srcRect/>
                    <a:stretch>
                      <a:fillRect/>
                    </a:stretch>
                  </pic:blipFill>
                  <pic:spPr>
                    <a:xfrm>
                      <a:off x="0" y="0"/>
                      <a:ext cx="5641271" cy="2746375"/>
                    </a:xfrm>
                    <a:prstGeom prst="rect">
                      <a:avLst/>
                    </a:prstGeom>
                    <a:noFill/>
                    <a:ln w="9525">
                      <a:noFill/>
                      <a:miter lim="800000"/>
                      <a:headEnd/>
                      <a:tailEnd/>
                    </a:ln>
                  </pic:spPr>
                </pic:pic>
              </a:graphicData>
            </a:graphic>
          </wp:inline>
        </w:drawing>
      </w:r>
    </w:p>
    <w:p>
      <w:pPr>
        <w:pStyle w:val="14"/>
        <w:adjustRightInd w:val="0"/>
        <w:snapToGrid w:val="0"/>
        <w:spacing w:line="580" w:lineRule="exact"/>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图2  2010-2020年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区城乡常住人口结构变化</w:t>
      </w:r>
      <w:r>
        <w:rPr>
          <w:rFonts w:hint="eastAsia" w:ascii="Times New Roman" w:hAnsi="Times New Roman" w:eastAsia="宋体" w:cs="Times New Roman"/>
          <w:b/>
          <w:bCs/>
          <w:sz w:val="28"/>
          <w:szCs w:val="28"/>
        </w:rPr>
        <w:t>情况</w:t>
      </w:r>
    </w:p>
    <w:p>
      <w:pPr>
        <w:spacing w:line="400" w:lineRule="atLeast"/>
        <w:ind w:firstLine="240" w:firstLineChars="100"/>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spacing w:line="580" w:lineRule="exact"/>
        <w:rPr>
          <w:rFonts w:ascii="Times New Roman" w:hAnsi="Times New Roman" w:cs="Times New Roman"/>
        </w:rPr>
      </w:pPr>
    </w:p>
    <w:p>
      <w:pPr>
        <w:pStyle w:val="2"/>
        <w:adjustRightInd w:val="0"/>
        <w:snapToGrid w:val="0"/>
        <w:spacing w:line="58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全区7个镇（街道）中，2020年人口超过10万人的镇（街道）有2个，1万人到10万人的镇（街道）有5个。常住人口居前二位的镇（街道）合计人口占全区人口比重为58.68%，人口聚集区域特征明显。与2010年相比，香洲街道、凤山街道人口增加，分别增加15621人、16170人，所占比重分别上升4.76、4.79个百分点；新港街道、马宫街道、红草镇、东涌镇和捷胜镇的人口所占比重下降，分别下降2.06、0.33、2.31、0.66和4.21个百分点。</w:t>
      </w:r>
    </w:p>
    <w:p>
      <w:pPr>
        <w:rPr>
          <w:rFonts w:ascii="Times New Roman" w:hAnsi="Times New Roman" w:cs="Times New Roman"/>
        </w:rPr>
      </w:pPr>
    </w:p>
    <w:p>
      <w:pPr>
        <w:pStyle w:val="2"/>
        <w:rPr>
          <w:rFonts w:ascii="Times New Roman" w:hAnsi="Times New Roman" w:cs="Times New Roman"/>
          <w:lang w:eastAsia="zh-CN"/>
        </w:rPr>
      </w:pPr>
    </w:p>
    <w:p>
      <w:pPr>
        <w:rPr>
          <w:rFonts w:ascii="Times New Roman" w:hAnsi="Times New Roman" w:cs="Times New Roman"/>
        </w:rPr>
      </w:pPr>
    </w:p>
    <w:p>
      <w:pPr>
        <w:rPr>
          <w:rFonts w:ascii="Times New Roman" w:hAnsi="Times New Roman" w:cs="Times New Roman"/>
        </w:rPr>
      </w:pPr>
    </w:p>
    <w:p>
      <w:pPr>
        <w:pStyle w:val="2"/>
        <w:rPr>
          <w:lang w:eastAsia="zh-CN"/>
        </w:rPr>
      </w:pPr>
    </w:p>
    <w:p/>
    <w:p>
      <w:pPr>
        <w:pStyle w:val="14"/>
        <w:adjustRightInd w:val="0"/>
        <w:snapToGrid w:val="0"/>
        <w:spacing w:line="580" w:lineRule="exact"/>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表1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区各镇</w:t>
      </w:r>
      <w:r>
        <w:rPr>
          <w:rFonts w:hint="eastAsia" w:ascii="Times New Roman" w:hAnsi="Times New Roman" w:eastAsia="宋体" w:cs="Times New Roman"/>
          <w:b/>
          <w:bCs/>
          <w:sz w:val="28"/>
          <w:szCs w:val="28"/>
          <w:lang w:eastAsia="zh-CN"/>
        </w:rPr>
        <w:t>（街道）</w:t>
      </w:r>
      <w:r>
        <w:rPr>
          <w:rFonts w:ascii="Times New Roman" w:hAnsi="Times New Roman" w:eastAsia="宋体" w:cs="Times New Roman"/>
          <w:b/>
          <w:bCs/>
          <w:sz w:val="28"/>
          <w:szCs w:val="28"/>
        </w:rPr>
        <w:t>人口分布</w:t>
      </w:r>
      <w:r>
        <w:rPr>
          <w:rFonts w:hint="eastAsia" w:ascii="Times New Roman" w:hAnsi="Times New Roman" w:eastAsia="宋体" w:cs="Times New Roman"/>
          <w:b/>
          <w:bCs/>
          <w:sz w:val="28"/>
          <w:szCs w:val="28"/>
        </w:rPr>
        <w:t xml:space="preserve"> </w:t>
      </w:r>
      <w:r>
        <w:rPr>
          <w:rFonts w:ascii="Times New Roman" w:hAnsi="Times New Roman" w:eastAsia="宋体" w:cs="Times New Roman"/>
          <w:b/>
          <w:bCs/>
          <w:sz w:val="28"/>
          <w:szCs w:val="28"/>
        </w:rPr>
        <w:t xml:space="preserve">  单位：万人、%</w:t>
      </w:r>
    </w:p>
    <w:tbl>
      <w:tblPr>
        <w:tblStyle w:val="50"/>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126"/>
        <w:gridCol w:w="2127"/>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vMerge w:val="restart"/>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地区</w:t>
            </w:r>
          </w:p>
        </w:tc>
        <w:tc>
          <w:tcPr>
            <w:tcW w:w="2126" w:type="dxa"/>
            <w:vMerge w:val="restart"/>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人口数</w:t>
            </w:r>
          </w:p>
        </w:tc>
        <w:tc>
          <w:tcPr>
            <w:tcW w:w="4273" w:type="dxa"/>
            <w:gridSpan w:val="2"/>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pacing w:val="-20"/>
                <w:sz w:val="28"/>
                <w:szCs w:val="28"/>
              </w:rPr>
            </w:pPr>
            <w:r>
              <w:rPr>
                <w:rFonts w:ascii="Times New Roman" w:hAnsi="Times New Roman" w:eastAsia="宋体" w:cs="Times New Roman"/>
                <w:b/>
                <w:bCs/>
                <w:color w:val="auto"/>
                <w:sz w:val="28"/>
                <w:szCs w:val="28"/>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vMerge w:val="continue"/>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val="0"/>
                <w:bCs w:val="0"/>
                <w:sz w:val="28"/>
                <w:szCs w:val="28"/>
              </w:rPr>
            </w:pPr>
          </w:p>
        </w:tc>
        <w:tc>
          <w:tcPr>
            <w:tcW w:w="2126" w:type="dxa"/>
            <w:vMerge w:val="continue"/>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sz w:val="28"/>
                <w:szCs w:val="28"/>
              </w:rPr>
            </w:pPr>
          </w:p>
        </w:tc>
        <w:tc>
          <w:tcPr>
            <w:tcW w:w="21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pStyle w:val="14"/>
              <w:adjustRightInd w:val="0"/>
              <w:snapToGrid w:val="0"/>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2020年</w:t>
            </w:r>
          </w:p>
        </w:tc>
        <w:tc>
          <w:tcPr>
            <w:tcW w:w="214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pStyle w:val="14"/>
              <w:adjustRightInd w:val="0"/>
              <w:snapToGrid w:val="0"/>
              <w:ind w:left="0" w:leftChars="0" w:firstLine="0" w:firstLineChars="0"/>
              <w:jc w:val="center"/>
              <w:rPr>
                <w:rFonts w:ascii="Times New Roman" w:hAnsi="Times New Roman" w:eastAsia="宋体" w:cs="Times New Roman"/>
                <w:b/>
                <w:spacing w:val="-20"/>
                <w:sz w:val="28"/>
                <w:szCs w:val="28"/>
              </w:rPr>
            </w:pPr>
            <w:r>
              <w:rPr>
                <w:rFonts w:ascii="Times New Roman" w:hAnsi="Times New Roman" w:eastAsia="宋体" w:cs="Times New Roman"/>
                <w:b/>
                <w:spacing w:val="-20"/>
                <w:sz w:val="28"/>
                <w:szCs w:val="28"/>
              </w:rPr>
              <w:t>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sz w:val="28"/>
                <w:szCs w:val="28"/>
              </w:rPr>
              <w:t>全区</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394593</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100.00</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东涌镇</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50278</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12.74</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红草镇</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25370</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6.43</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捷胜镇</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25467</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6.45</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马宫街道</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13681</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3.47</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凤山街道</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109438</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27.73</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香洲街道</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122133</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30.95</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jc w:val="center"/>
        </w:trPr>
        <w:tc>
          <w:tcPr>
            <w:tcW w:w="2231"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ind w:left="364" w:leftChars="0" w:hanging="364" w:hangingChars="13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新港街道</w:t>
            </w:r>
          </w:p>
        </w:tc>
        <w:tc>
          <w:tcPr>
            <w:tcW w:w="2126"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48226</w:t>
            </w:r>
          </w:p>
        </w:tc>
        <w:tc>
          <w:tcPr>
            <w:tcW w:w="2127"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12.22</w:t>
            </w:r>
          </w:p>
        </w:tc>
        <w:tc>
          <w:tcPr>
            <w:tcW w:w="2146"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14.28</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spacing w:line="440" w:lineRule="exact"/>
        <w:rPr>
          <w:rFonts w:ascii="Times New Roman" w:hAnsi="Times New Roman" w:cs="Times New Roman"/>
        </w:rPr>
      </w:pPr>
    </w:p>
    <w:p>
      <w:pPr>
        <w:pStyle w:val="2"/>
        <w:adjustRightInd w:val="0"/>
        <w:snapToGrid w:val="0"/>
        <w:spacing w:line="58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w:t>
      </w:r>
      <w:r>
        <w:rPr>
          <w:rFonts w:ascii="Times New Roman" w:hAnsi="Times New Roman" w:eastAsia="仿宋_GB2312" w:cs="Times New Roman"/>
          <w:b/>
          <w:bCs/>
          <w:sz w:val="32"/>
          <w:szCs w:val="32"/>
          <w:lang w:eastAsia="zh-CN"/>
        </w:rPr>
        <w:t>户</w:t>
      </w:r>
      <w:r>
        <w:rPr>
          <w:rFonts w:ascii="Times New Roman" w:hAnsi="Times New Roman" w:eastAsia="仿宋_GB2312" w:cs="Times New Roman"/>
          <w:b/>
          <w:bCs/>
          <w:sz w:val="32"/>
          <w:szCs w:val="32"/>
        </w:rPr>
        <w:t>分离与</w:t>
      </w:r>
      <w:r>
        <w:rPr>
          <w:rFonts w:ascii="Times New Roman" w:hAnsi="Times New Roman" w:eastAsia="仿宋_GB2312" w:cs="Times New Roman"/>
          <w:b/>
          <w:bCs/>
          <w:sz w:val="32"/>
          <w:szCs w:val="32"/>
          <w:lang w:eastAsia="zh-CN"/>
        </w:rPr>
        <w:t>人口</w:t>
      </w:r>
      <w:r>
        <w:rPr>
          <w:rFonts w:ascii="Times New Roman" w:hAnsi="Times New Roman" w:eastAsia="仿宋_GB2312" w:cs="Times New Roman"/>
          <w:b/>
          <w:bCs/>
          <w:sz w:val="32"/>
          <w:szCs w:val="32"/>
        </w:rPr>
        <w:t>流出增大。</w:t>
      </w:r>
      <w:r>
        <w:rPr>
          <w:rFonts w:ascii="Times New Roman" w:hAnsi="Times New Roman" w:eastAsia="仿宋_GB2312" w:cs="Times New Roman"/>
          <w:sz w:val="32"/>
          <w:szCs w:val="32"/>
          <w:lang w:eastAsia="zh-CN"/>
        </w:rPr>
        <w:t>全区常住人口中，人户分离人口为17.26万人。与2010年相比，人户分离人口增加9.95万人，增长135.9%；流动人口增加3.75万人，增长111.8%，人口向经济发达区域、城市群集聚的趋势明显，极化效应凸显。</w:t>
      </w:r>
    </w:p>
    <w:p>
      <w:pPr>
        <w:spacing w:line="440" w:lineRule="exact"/>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inline distT="0" distB="0" distL="0" distR="0">
            <wp:extent cx="5455920" cy="22574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srcRect/>
                    <a:stretch>
                      <a:fillRect/>
                    </a:stretch>
                  </pic:blipFill>
                  <pic:spPr>
                    <a:xfrm>
                      <a:off x="0" y="0"/>
                      <a:ext cx="5487418" cy="2270371"/>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图3  2010-2020年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区人口流动变化</w:t>
      </w:r>
      <w:r>
        <w:rPr>
          <w:rFonts w:hint="eastAsia" w:ascii="Times New Roman" w:hAnsi="Times New Roman" w:eastAsia="宋体" w:cs="Times New Roman"/>
          <w:b/>
          <w:bCs/>
          <w:sz w:val="28"/>
          <w:szCs w:val="28"/>
        </w:rPr>
        <w:t>情况</w:t>
      </w:r>
      <w:r>
        <w:rPr>
          <w:rFonts w:ascii="Times New Roman" w:hAnsi="Times New Roman" w:eastAsia="宋体" w:cs="Times New Roman"/>
          <w:b/>
          <w:bCs/>
          <w:sz w:val="28"/>
          <w:szCs w:val="28"/>
        </w:rPr>
        <w:t xml:space="preserve"> </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pacing w:line="580" w:lineRule="exact"/>
        <w:ind w:left="108"/>
        <w:rPr>
          <w:rFonts w:ascii="Times New Roman" w:hAnsi="Times New Roman" w:eastAsia="仿宋_GB2312" w:cs="Times New Roman"/>
          <w:sz w:val="32"/>
          <w:szCs w:val="32"/>
          <w:lang w:eastAsia="zh-CN"/>
        </w:rPr>
      </w:pPr>
      <w:r>
        <w:rPr>
          <w:rFonts w:ascii="Times New Roman" w:hAnsi="Times New Roman" w:cs="Times New Roman"/>
          <w:lang w:eastAsia="zh-CN"/>
        </w:rPr>
        <w:t xml:space="preserve">       </w:t>
      </w:r>
      <w:r>
        <w:rPr>
          <w:rFonts w:ascii="Times New Roman" w:hAnsi="Times New Roman" w:eastAsia="仿宋_GB2312" w:cs="Times New Roman"/>
          <w:b/>
          <w:bCs/>
          <w:sz w:val="32"/>
          <w:szCs w:val="32"/>
          <w:lang w:eastAsia="zh-CN"/>
        </w:rPr>
        <w:t>性别结构失调有所加剧。</w:t>
      </w:r>
      <w:r>
        <w:rPr>
          <w:rFonts w:ascii="Times New Roman" w:hAnsi="Times New Roman" w:eastAsia="仿宋_GB2312" w:cs="Times New Roman"/>
          <w:sz w:val="32"/>
          <w:szCs w:val="32"/>
          <w:lang w:eastAsia="zh-CN"/>
        </w:rPr>
        <w:t>截止2020年，全区常住人口中，男性人口为20.5</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lang w:eastAsia="zh-CN"/>
        </w:rPr>
        <w:t>万人，占51.98%；女性人口为18.9</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万人，占48.02%。总人口性别比由2010年的105.6上升为108.25，超过全国和汕尾市平均水平（分别为104.6、107.48），但低于广东省平均水平111.7，男女比例轻度失调。</w:t>
      </w:r>
    </w:p>
    <w:p>
      <w:pPr>
        <w:spacing w:line="580" w:lineRule="exact"/>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inline distT="0" distB="0" distL="0" distR="0">
            <wp:extent cx="5300980" cy="2711450"/>
            <wp:effectExtent l="0" t="0" r="0" b="0"/>
            <wp:docPr id="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pic:cNvPicPr>
                      <a:picLocks noChangeAspect="1" noChangeArrowheads="1"/>
                    </pic:cNvPicPr>
                  </pic:nvPicPr>
                  <pic:blipFill>
                    <a:blip r:embed="rId12" cstate="print"/>
                    <a:srcRect/>
                    <a:stretch>
                      <a:fillRect/>
                    </a:stretch>
                  </pic:blipFill>
                  <pic:spPr>
                    <a:xfrm>
                      <a:off x="0" y="0"/>
                      <a:ext cx="5345103" cy="2734240"/>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图4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区常住人口性别结构</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pacing w:line="580" w:lineRule="exact"/>
        <w:ind w:left="108"/>
        <w:rPr>
          <w:rFonts w:ascii="Times New Roman" w:hAnsi="Times New Roman" w:cs="Times New Roman"/>
          <w:lang w:eastAsia="zh-CN"/>
        </w:rPr>
      </w:pPr>
    </w:p>
    <w:p>
      <w:pPr>
        <w:ind w:firstLine="66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全区7个镇（街道）中，</w:t>
      </w:r>
      <w:r>
        <w:rPr>
          <w:rFonts w:hint="eastAsia" w:ascii="Times New Roman" w:hAnsi="Times New Roman" w:eastAsia="仿宋_GB2312" w:cs="Times New Roman"/>
          <w:kern w:val="0"/>
          <w:sz w:val="32"/>
          <w:szCs w:val="32"/>
        </w:rPr>
        <w:t>性别结构分布较为不均衡。其中，</w:t>
      </w:r>
      <w:r>
        <w:rPr>
          <w:rFonts w:ascii="Times New Roman" w:hAnsi="Times New Roman" w:eastAsia="仿宋_GB2312" w:cs="Times New Roman"/>
          <w:kern w:val="0"/>
          <w:sz w:val="32"/>
          <w:szCs w:val="32"/>
        </w:rPr>
        <w:t>人口性别比在110以上的镇（街道）有3个</w:t>
      </w:r>
      <w:r>
        <w:rPr>
          <w:rFonts w:hint="eastAsia" w:ascii="Times New Roman" w:hAnsi="Times New Roman" w:eastAsia="仿宋_GB2312" w:cs="Times New Roman"/>
          <w:kern w:val="0"/>
          <w:sz w:val="32"/>
          <w:szCs w:val="32"/>
        </w:rPr>
        <w:t>，分别为红草镇、马宫街道和东涌镇；</w:t>
      </w:r>
      <w:r>
        <w:rPr>
          <w:rFonts w:ascii="Times New Roman" w:hAnsi="Times New Roman" w:eastAsia="仿宋_GB2312" w:cs="Times New Roman"/>
          <w:kern w:val="0"/>
          <w:sz w:val="32"/>
          <w:szCs w:val="32"/>
        </w:rPr>
        <w:t>在105-110之间的镇（街道）有3个，</w:t>
      </w:r>
      <w:r>
        <w:rPr>
          <w:rFonts w:hint="eastAsia" w:ascii="Times New Roman" w:hAnsi="Times New Roman" w:eastAsia="仿宋_GB2312" w:cs="Times New Roman"/>
          <w:kern w:val="0"/>
          <w:sz w:val="32"/>
          <w:szCs w:val="32"/>
        </w:rPr>
        <w:t>分别为凤山街道、捷胜镇和新港街道；</w:t>
      </w:r>
      <w:r>
        <w:rPr>
          <w:rFonts w:ascii="Times New Roman" w:hAnsi="Times New Roman" w:eastAsia="仿宋_GB2312" w:cs="Times New Roman"/>
          <w:kern w:val="0"/>
          <w:sz w:val="32"/>
          <w:szCs w:val="32"/>
        </w:rPr>
        <w:t>在105以下的镇（街道）有1个</w:t>
      </w:r>
      <w:r>
        <w:rPr>
          <w:rFonts w:hint="eastAsia" w:ascii="Times New Roman" w:hAnsi="Times New Roman" w:eastAsia="仿宋_GB2312" w:cs="Times New Roman"/>
          <w:kern w:val="0"/>
          <w:sz w:val="32"/>
          <w:szCs w:val="32"/>
        </w:rPr>
        <w:t>，为香洲街道。</w:t>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表2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区各镇</w:t>
      </w:r>
      <w:r>
        <w:rPr>
          <w:rFonts w:hint="eastAsia" w:ascii="Times New Roman" w:hAnsi="Times New Roman" w:eastAsia="宋体" w:cs="Times New Roman"/>
          <w:b/>
          <w:bCs/>
          <w:sz w:val="28"/>
          <w:szCs w:val="28"/>
          <w:lang w:eastAsia="zh-CN"/>
        </w:rPr>
        <w:t>（街道）</w:t>
      </w:r>
      <w:r>
        <w:rPr>
          <w:rFonts w:ascii="Times New Roman" w:hAnsi="Times New Roman" w:eastAsia="宋体" w:cs="Times New Roman"/>
          <w:b/>
          <w:bCs/>
          <w:sz w:val="28"/>
          <w:szCs w:val="28"/>
        </w:rPr>
        <w:t>人口性别构成   单位：%</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634"/>
        <w:gridCol w:w="1662"/>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vMerge w:val="restart"/>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line="580" w:lineRule="exact"/>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地区</w:t>
            </w:r>
          </w:p>
        </w:tc>
        <w:tc>
          <w:tcPr>
            <w:tcW w:w="3296" w:type="dxa"/>
            <w:gridSpan w:val="2"/>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line="580" w:lineRule="exact"/>
              <w:ind w:left="0" w:leftChars="0" w:firstLine="0" w:firstLineChars="0"/>
              <w:jc w:val="center"/>
              <w:rPr>
                <w:rFonts w:ascii="Times New Roman" w:hAnsi="Times New Roman" w:eastAsia="宋体" w:cs="Times New Roman"/>
                <w:b/>
                <w:bCs/>
                <w:color w:val="FFFFFF" w:themeColor="background1"/>
                <w:sz w:val="28"/>
                <w:szCs w:val="28"/>
              </w:rPr>
            </w:pPr>
            <w:r>
              <w:rPr>
                <w:rFonts w:ascii="Times New Roman" w:hAnsi="Times New Roman" w:eastAsia="宋体" w:cs="Times New Roman"/>
                <w:b/>
                <w:bCs/>
                <w:color w:val="auto"/>
                <w:sz w:val="28"/>
                <w:szCs w:val="28"/>
              </w:rPr>
              <w:t>占常住人口比重</w:t>
            </w:r>
          </w:p>
        </w:tc>
        <w:tc>
          <w:tcPr>
            <w:tcW w:w="3247" w:type="dxa"/>
            <w:vMerge w:val="restart"/>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line="580" w:lineRule="exact"/>
              <w:ind w:left="0" w:leftChars="0" w:firstLine="0" w:firstLineChars="0"/>
              <w:jc w:val="center"/>
              <w:rPr>
                <w:rFonts w:ascii="Times New Roman" w:hAnsi="Times New Roman" w:eastAsia="宋体" w:cs="Times New Roman"/>
                <w:b w:val="0"/>
                <w:bCs w:val="0"/>
                <w:color w:val="FFFFFF" w:themeColor="background1"/>
                <w:spacing w:val="-20"/>
                <w:sz w:val="28"/>
                <w:szCs w:val="28"/>
              </w:rPr>
            </w:pPr>
            <w:r>
              <w:rPr>
                <w:rFonts w:ascii="Times New Roman" w:hAnsi="Times New Roman" w:eastAsia="宋体" w:cs="Times New Roman"/>
                <w:b/>
                <w:bCs/>
                <w:color w:val="auto"/>
                <w:spacing w:val="-20"/>
                <w:sz w:val="28"/>
                <w:szCs w:val="28"/>
              </w:rPr>
              <w:t>性别比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81" w:type="dxa"/>
            <w:vMerge w:val="continue"/>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580" w:lineRule="exact"/>
              <w:ind w:left="0" w:leftChars="0" w:firstLine="0" w:firstLineChars="0"/>
              <w:jc w:val="center"/>
              <w:rPr>
                <w:rFonts w:ascii="Times New Roman" w:hAnsi="Times New Roman" w:eastAsia="宋体" w:cs="Times New Roman"/>
                <w:b w:val="0"/>
                <w:bCs w:val="0"/>
                <w:sz w:val="28"/>
                <w:szCs w:val="28"/>
              </w:rPr>
            </w:pPr>
          </w:p>
        </w:tc>
        <w:tc>
          <w:tcPr>
            <w:tcW w:w="163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spacing w:line="580" w:lineRule="exact"/>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男</w:t>
            </w:r>
          </w:p>
        </w:tc>
        <w:tc>
          <w:tcPr>
            <w:tcW w:w="166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女</w:t>
            </w:r>
          </w:p>
        </w:tc>
        <w:tc>
          <w:tcPr>
            <w:tcW w:w="3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sz w:val="28"/>
                <w:szCs w:val="28"/>
              </w:rPr>
              <w:t>全区</w:t>
            </w:r>
          </w:p>
        </w:tc>
        <w:tc>
          <w:tcPr>
            <w:tcW w:w="1634"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51.98</w:t>
            </w:r>
          </w:p>
        </w:tc>
        <w:tc>
          <w:tcPr>
            <w:tcW w:w="1662"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48.02</w:t>
            </w:r>
          </w:p>
        </w:tc>
        <w:tc>
          <w:tcPr>
            <w:tcW w:w="3247" w:type="dxa"/>
            <w:tcBorders>
              <w:top w:val="single" w:color="auto" w:sz="4" w:space="0"/>
              <w:left w:val="single" w:color="auto" w:sz="4" w:space="0"/>
              <w:right w:val="single" w:color="auto" w:sz="4" w:space="0"/>
            </w:tcBorders>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东涌镇</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53.22</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46.78</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113.79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红草镇</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54.04</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45.96</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117.56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捷胜镇</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51.73</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48.27</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马宫街道</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53.40</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46.60</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114.57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凤山街道</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51.99</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48.01</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香洲街道</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51.14</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48.86</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2281" w:type="dxa"/>
            <w:shd w:val="clear" w:color="auto" w:fill="auto"/>
            <w:vAlign w:val="center"/>
          </w:tcPr>
          <w:p>
            <w:pPr>
              <w:pStyle w:val="14"/>
              <w:adjustRightInd w:val="0"/>
              <w:snapToGrid w:val="0"/>
              <w:spacing w:line="580" w:lineRule="exact"/>
              <w:ind w:left="364" w:leftChars="0" w:hanging="364" w:hangingChars="13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新港街道</w:t>
            </w:r>
          </w:p>
        </w:tc>
        <w:tc>
          <w:tcPr>
            <w:tcW w:w="1634"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51.45</w:t>
            </w:r>
          </w:p>
        </w:tc>
        <w:tc>
          <w:tcPr>
            <w:tcW w:w="1662"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48.55</w:t>
            </w:r>
          </w:p>
        </w:tc>
        <w:tc>
          <w:tcPr>
            <w:tcW w:w="3247" w:type="dxa"/>
            <w:shd w:val="clear" w:color="auto" w:fill="auto"/>
            <w:vAlign w:val="center"/>
          </w:tcPr>
          <w:p>
            <w:pPr>
              <w:pStyle w:val="14"/>
              <w:adjustRightInd w:val="0"/>
              <w:snapToGrid w:val="0"/>
              <w:spacing w:line="580" w:lineRule="exac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105.95</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napToGrid w:val="0"/>
        <w:spacing w:line="580" w:lineRule="exact"/>
        <w:ind w:left="108"/>
        <w:rPr>
          <w:rFonts w:ascii="Times New Roman" w:hAnsi="Times New Roman" w:cs="Times New Roman"/>
          <w:lang w:eastAsia="zh-CN"/>
        </w:rPr>
      </w:pPr>
    </w:p>
    <w:p>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人口老龄化持续加深。</w:t>
      </w:r>
      <w:r>
        <w:rPr>
          <w:rFonts w:ascii="Times New Roman" w:hAnsi="Times New Roman" w:eastAsia="仿宋_GB2312" w:cs="Times New Roman"/>
          <w:sz w:val="32"/>
          <w:szCs w:val="32"/>
        </w:rPr>
        <w:t>2020年，全区常住人口中，0-14岁人口为8.25万人，占20.91%；15-59岁人口为25.79万人，占65.35%；60岁以上人口为5.42万人，占13.7</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其中65岁及以上人口为3.76万人，占9.52%。与2010年相比，0-14岁人口的比重提高2.49个百分点，15-59岁人口的比重下降7.36个百分点，60岁以上人口的比重提高4.88个百分点，65岁及以上人口的比重提高3.65个百分点。少年人口增长率低于老年人口增长率，人口老龄化趋势明显，劳动力人口下降明显。</w:t>
      </w:r>
    </w:p>
    <w:p>
      <w:pPr>
        <w:pStyle w:val="2"/>
        <w:snapToGrid w:val="0"/>
        <w:spacing w:line="200" w:lineRule="exact"/>
        <w:ind w:left="108"/>
        <w:rPr>
          <w:rFonts w:ascii="Times New Roman" w:hAnsi="Times New Roman" w:cs="Times New Roman"/>
          <w:lang w:eastAsia="zh-CN"/>
        </w:rPr>
      </w:pP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表3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区常住人口年龄结构    单位：万人、%</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1270"/>
        <w:gridCol w:w="1128"/>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line="220" w:lineRule="atLeast"/>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年龄</w:t>
            </w:r>
          </w:p>
        </w:tc>
        <w:tc>
          <w:tcPr>
            <w:tcW w:w="1270"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line="220" w:lineRule="atLeast"/>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人口数</w:t>
            </w:r>
          </w:p>
        </w:tc>
        <w:tc>
          <w:tcPr>
            <w:tcW w:w="1128"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line="220" w:lineRule="atLeast"/>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比重</w:t>
            </w:r>
          </w:p>
        </w:tc>
        <w:tc>
          <w:tcPr>
            <w:tcW w:w="3267"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line="220" w:lineRule="atLeast"/>
              <w:ind w:left="0" w:leftChars="0" w:firstLine="0" w:firstLineChars="0"/>
              <w:jc w:val="center"/>
              <w:rPr>
                <w:rFonts w:ascii="Times New Roman" w:hAnsi="Times New Roman" w:eastAsia="宋体" w:cs="Times New Roman"/>
                <w:b w:val="0"/>
                <w:bCs w:val="0"/>
                <w:color w:val="FFFFFF" w:themeColor="background1"/>
                <w:spacing w:val="-20"/>
                <w:sz w:val="28"/>
                <w:szCs w:val="28"/>
              </w:rPr>
            </w:pPr>
            <w:r>
              <w:rPr>
                <w:rFonts w:ascii="Times New Roman" w:hAnsi="Times New Roman" w:eastAsia="宋体" w:cs="Times New Roman"/>
                <w:b/>
                <w:bCs/>
                <w:color w:val="auto"/>
                <w:spacing w:val="-20"/>
                <w:sz w:val="28"/>
                <w:szCs w:val="28"/>
              </w:rPr>
              <w:t>与2010年相比变化率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rPr>
                <w:rFonts w:ascii="Times New Roman" w:hAnsi="Times New Roman" w:eastAsia="宋体" w:cs="Times New Roman"/>
                <w:b/>
                <w:bCs/>
                <w:sz w:val="28"/>
                <w:szCs w:val="28"/>
              </w:rPr>
            </w:pPr>
            <w:r>
              <w:rPr>
                <w:rFonts w:ascii="Times New Roman" w:hAnsi="Times New Roman" w:eastAsia="宋体" w:cs="Times New Roman"/>
                <w:b w:val="0"/>
                <w:bCs/>
                <w:sz w:val="28"/>
                <w:szCs w:val="28"/>
              </w:rPr>
              <w:t>总计</w:t>
            </w:r>
          </w:p>
        </w:tc>
        <w:tc>
          <w:tcPr>
            <w:tcW w:w="1270"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39.46</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100</w:t>
            </w:r>
          </w:p>
        </w:tc>
        <w:tc>
          <w:tcPr>
            <w:tcW w:w="3267"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rPr>
                <w:rFonts w:ascii="Times New Roman" w:hAnsi="Times New Roman" w:eastAsia="宋体" w:cs="Times New Roman"/>
                <w:b/>
                <w:bCs/>
                <w:sz w:val="28"/>
                <w:szCs w:val="28"/>
              </w:rPr>
            </w:pPr>
            <w:r>
              <w:rPr>
                <w:rFonts w:ascii="Times New Roman" w:hAnsi="Times New Roman" w:eastAsia="宋体" w:cs="Times New Roman"/>
                <w:b w:val="0"/>
                <w:bCs/>
                <w:sz w:val="28"/>
                <w:szCs w:val="28"/>
              </w:rPr>
              <w:t>0-14岁</w:t>
            </w:r>
          </w:p>
        </w:tc>
        <w:tc>
          <w:tcPr>
            <w:tcW w:w="1270"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8.25</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20.91</w:t>
            </w:r>
          </w:p>
        </w:tc>
        <w:tc>
          <w:tcPr>
            <w:tcW w:w="3267"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tcBorders>
              <w:top w:val="single" w:color="auto" w:sz="4" w:space="0"/>
              <w:left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rPr>
                <w:rFonts w:ascii="Times New Roman" w:hAnsi="Times New Roman" w:eastAsia="宋体" w:cs="Times New Roman"/>
                <w:b/>
                <w:bCs/>
                <w:sz w:val="28"/>
                <w:szCs w:val="28"/>
              </w:rPr>
            </w:pPr>
            <w:r>
              <w:rPr>
                <w:rFonts w:ascii="Times New Roman" w:hAnsi="Times New Roman" w:eastAsia="宋体" w:cs="Times New Roman"/>
                <w:b w:val="0"/>
                <w:bCs/>
                <w:sz w:val="28"/>
                <w:szCs w:val="28"/>
              </w:rPr>
              <w:t>15-59岁</w:t>
            </w:r>
          </w:p>
        </w:tc>
        <w:tc>
          <w:tcPr>
            <w:tcW w:w="1270" w:type="dxa"/>
            <w:tcBorders>
              <w:top w:val="single" w:color="auto" w:sz="4" w:space="0"/>
              <w:left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25.79</w:t>
            </w:r>
          </w:p>
        </w:tc>
        <w:tc>
          <w:tcPr>
            <w:tcW w:w="1128" w:type="dxa"/>
            <w:tcBorders>
              <w:top w:val="single" w:color="auto" w:sz="4" w:space="0"/>
              <w:left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65.35</w:t>
            </w:r>
          </w:p>
        </w:tc>
        <w:tc>
          <w:tcPr>
            <w:tcW w:w="3267" w:type="dxa"/>
            <w:tcBorders>
              <w:top w:val="single" w:color="auto" w:sz="4" w:space="0"/>
              <w:left w:val="single" w:color="auto" w:sz="4" w:space="0"/>
              <w:right w:val="single" w:color="auto" w:sz="4" w:space="0"/>
            </w:tcBorders>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shd w:val="clear" w:color="auto" w:fill="auto"/>
            <w:vAlign w:val="center"/>
          </w:tcPr>
          <w:p>
            <w:pPr>
              <w:pStyle w:val="14"/>
              <w:adjustRightInd w:val="0"/>
              <w:snapToGrid w:val="0"/>
              <w:spacing w:line="220" w:lineRule="atLeast"/>
              <w:ind w:left="364" w:leftChars="0" w:hanging="364" w:hangingChars="130"/>
              <w:rPr>
                <w:rFonts w:ascii="Times New Roman" w:hAnsi="Times New Roman" w:eastAsia="宋体" w:cs="Times New Roman"/>
                <w:b/>
                <w:bCs/>
                <w:sz w:val="28"/>
                <w:szCs w:val="28"/>
              </w:rPr>
            </w:pPr>
            <w:r>
              <w:rPr>
                <w:rFonts w:ascii="Times New Roman" w:hAnsi="Times New Roman" w:eastAsia="宋体" w:cs="Times New Roman"/>
                <w:b w:val="0"/>
                <w:bCs/>
                <w:sz w:val="28"/>
                <w:szCs w:val="28"/>
              </w:rPr>
              <w:t>60岁以上</w:t>
            </w:r>
          </w:p>
        </w:tc>
        <w:tc>
          <w:tcPr>
            <w:tcW w:w="1270" w:type="dxa"/>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5.42</w:t>
            </w:r>
          </w:p>
        </w:tc>
        <w:tc>
          <w:tcPr>
            <w:tcW w:w="1128" w:type="dxa"/>
            <w:shd w:val="clear" w:color="auto" w:fill="auto"/>
          </w:tcPr>
          <w:p>
            <w:pPr>
              <w:pStyle w:val="14"/>
              <w:adjustRightInd w:val="0"/>
              <w:snapToGrid w:val="0"/>
              <w:spacing w:line="220" w:lineRule="atLeast"/>
              <w:ind w:left="0" w:leftChars="0" w:firstLine="0" w:firstLineChars="0"/>
              <w:jc w:val="center"/>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13.7</w:t>
            </w:r>
            <w:r>
              <w:rPr>
                <w:rFonts w:hint="eastAsia" w:ascii="Times New Roman" w:hAnsi="Times New Roman" w:eastAsia="宋体" w:cs="Times New Roman"/>
                <w:sz w:val="28"/>
                <w:szCs w:val="28"/>
                <w:lang w:val="en-US" w:eastAsia="zh-CN"/>
              </w:rPr>
              <w:t>4</w:t>
            </w:r>
          </w:p>
        </w:tc>
        <w:tc>
          <w:tcPr>
            <w:tcW w:w="3267" w:type="dxa"/>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212" w:type="dxa"/>
            <w:shd w:val="clear" w:color="auto" w:fill="auto"/>
          </w:tcPr>
          <w:p>
            <w:pPr>
              <w:pStyle w:val="14"/>
              <w:adjustRightInd w:val="0"/>
              <w:snapToGrid w:val="0"/>
              <w:spacing w:line="220" w:lineRule="atLeast"/>
              <w:ind w:firstLine="0" w:firstLineChars="0"/>
              <w:rPr>
                <w:rFonts w:ascii="Times New Roman" w:hAnsi="Times New Roman" w:eastAsia="宋体" w:cs="Times New Roman"/>
                <w:b/>
                <w:bCs/>
                <w:sz w:val="28"/>
                <w:szCs w:val="28"/>
              </w:rPr>
            </w:pPr>
            <w:r>
              <w:rPr>
                <w:rFonts w:ascii="Times New Roman" w:hAnsi="Times New Roman" w:eastAsia="宋体" w:cs="Times New Roman"/>
                <w:b w:val="0"/>
                <w:bCs/>
                <w:sz w:val="28"/>
                <w:szCs w:val="28"/>
              </w:rPr>
              <w:t>其中：65岁及以上</w:t>
            </w:r>
          </w:p>
        </w:tc>
        <w:tc>
          <w:tcPr>
            <w:tcW w:w="1270" w:type="dxa"/>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3.76</w:t>
            </w:r>
          </w:p>
        </w:tc>
        <w:tc>
          <w:tcPr>
            <w:tcW w:w="1128" w:type="dxa"/>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9.52</w:t>
            </w:r>
          </w:p>
        </w:tc>
        <w:tc>
          <w:tcPr>
            <w:tcW w:w="3267" w:type="dxa"/>
            <w:shd w:val="clear" w:color="auto" w:fill="auto"/>
          </w:tcPr>
          <w:p>
            <w:pPr>
              <w:pStyle w:val="14"/>
              <w:adjustRightInd w:val="0"/>
              <w:snapToGrid w:val="0"/>
              <w:spacing w:line="220" w:lineRule="atLeast"/>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3.65</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pacing w:line="580" w:lineRule="exact"/>
        <w:ind w:left="108"/>
        <w:rPr>
          <w:lang w:eastAsia="zh-CN"/>
        </w:rPr>
      </w:pPr>
    </w:p>
    <w:p>
      <w:pPr>
        <w:pStyle w:val="14"/>
        <w:adjustRightInd w:val="0"/>
        <w:snapToGrid w:val="0"/>
        <w:spacing w:line="580" w:lineRule="exact"/>
        <w:ind w:left="-1" w:leftChars="-40" w:hanging="83" w:hangingChars="26"/>
        <w:rPr>
          <w:rFonts w:ascii="Times New Roman" w:hAnsi="Times New Roman" w:eastAsia="仿宋_GB2312" w:cs="Times New Roman"/>
        </w:rPr>
      </w:pPr>
      <w:r>
        <w:rPr>
          <w:rFonts w:ascii="Times New Roman" w:hAnsi="Times New Roman" w:eastAsia="仿宋_GB2312" w:cs="Times New Roman"/>
        </w:rPr>
        <w:t xml:space="preserve">    从各镇</w:t>
      </w:r>
      <w:r>
        <w:rPr>
          <w:rFonts w:hint="eastAsia" w:ascii="Times New Roman" w:hAnsi="Times New Roman" w:eastAsia="仿宋_GB2312" w:cs="Times New Roman"/>
          <w:lang w:eastAsia="zh-CN"/>
        </w:rPr>
        <w:t>（街道）</w:t>
      </w:r>
      <w:r>
        <w:rPr>
          <w:rFonts w:ascii="Times New Roman" w:hAnsi="Times New Roman" w:eastAsia="仿宋_GB2312" w:cs="Times New Roman"/>
        </w:rPr>
        <w:t>情况来看，均存在不同程度的人口老龄化现象，65岁以上老人占比明显增大。全区7个镇（街道）中，15-59岁人口比重在65%以上的镇（街道）有2个，在60%-65%之间的镇（街道）有4个，在60%以下的镇（街道）有1个。7个镇（街道）65岁及以上老年人口比重均超过7%，其中，</w:t>
      </w:r>
      <w:r>
        <w:rPr>
          <w:rFonts w:hint="eastAsia" w:ascii="Times New Roman" w:hAnsi="Times New Roman" w:eastAsia="仿宋_GB2312" w:cs="Times New Roman"/>
          <w:lang w:eastAsia="zh-CN"/>
        </w:rPr>
        <w:t>捷胜</w:t>
      </w:r>
      <w:r>
        <w:rPr>
          <w:rFonts w:ascii="Times New Roman" w:hAnsi="Times New Roman" w:eastAsia="仿宋_GB2312" w:cs="Times New Roman"/>
        </w:rPr>
        <w:t>镇65岁及以上老年人口比重超过14%。</w:t>
      </w:r>
    </w:p>
    <w:p>
      <w:pPr>
        <w:pStyle w:val="2"/>
        <w:spacing w:line="580" w:lineRule="exact"/>
        <w:ind w:left="108"/>
        <w:rPr>
          <w:rFonts w:ascii="Times New Roman" w:hAnsi="Times New Roman" w:cs="Times New Roman"/>
          <w:lang w:eastAsia="zh-CN"/>
        </w:rPr>
      </w:pP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表4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区各镇街人口年龄构成   单位：%</w:t>
      </w:r>
    </w:p>
    <w:tbl>
      <w:tblPr>
        <w:tblStyle w:val="22"/>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48"/>
        <w:gridCol w:w="1748"/>
        <w:gridCol w:w="1749"/>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648" w:type="dxa"/>
            <w:vMerge w:val="restart"/>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地区</w:t>
            </w:r>
          </w:p>
        </w:tc>
        <w:tc>
          <w:tcPr>
            <w:tcW w:w="7469" w:type="dxa"/>
            <w:gridSpan w:val="4"/>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占常住人口比重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648" w:type="dxa"/>
            <w:vMerge w:val="continue"/>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val="0"/>
                <w:bCs w:val="0"/>
                <w:sz w:val="28"/>
                <w:szCs w:val="28"/>
              </w:rPr>
            </w:pPr>
          </w:p>
        </w:tc>
        <w:tc>
          <w:tcPr>
            <w:tcW w:w="174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0-14岁</w:t>
            </w:r>
          </w:p>
        </w:tc>
        <w:tc>
          <w:tcPr>
            <w:tcW w:w="174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15-59岁</w:t>
            </w:r>
          </w:p>
        </w:tc>
        <w:tc>
          <w:tcPr>
            <w:tcW w:w="174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60岁以上</w:t>
            </w:r>
          </w:p>
        </w:tc>
        <w:tc>
          <w:tcPr>
            <w:tcW w:w="222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14"/>
              <w:adjustRightInd w:val="0"/>
              <w:snapToGrid w:val="0"/>
              <w:ind w:left="0" w:leftChars="0" w:firstLine="0" w:firstLineChars="0"/>
              <w:jc w:val="center"/>
              <w:rPr>
                <w:rFonts w:ascii="Times New Roman" w:hAnsi="Times New Roman" w:eastAsia="宋体" w:cs="Times New Roman"/>
                <w:b/>
                <w:sz w:val="28"/>
                <w:szCs w:val="28"/>
              </w:rPr>
            </w:pPr>
            <w:r>
              <w:rPr>
                <w:rFonts w:ascii="Times New Roman" w:hAnsi="Times New Roman" w:eastAsia="宋体" w:cs="Times New Roman"/>
                <w:b/>
                <w:sz w:val="28"/>
                <w:szCs w:val="28"/>
              </w:rPr>
              <w:t>其中：65岁以上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sz w:val="28"/>
                <w:szCs w:val="28"/>
              </w:rPr>
              <w:t>全区</w:t>
            </w:r>
          </w:p>
        </w:tc>
        <w:tc>
          <w:tcPr>
            <w:tcW w:w="17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20.91</w:t>
            </w:r>
          </w:p>
        </w:tc>
        <w:tc>
          <w:tcPr>
            <w:tcW w:w="17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65.35</w:t>
            </w:r>
          </w:p>
        </w:tc>
        <w:tc>
          <w:tcPr>
            <w:tcW w:w="1749"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13.7</w:t>
            </w:r>
            <w:r>
              <w:rPr>
                <w:rFonts w:hint="eastAsia" w:ascii="Times New Roman" w:hAnsi="Times New Roman" w:eastAsia="宋体" w:cs="Times New Roman"/>
                <w:sz w:val="28"/>
                <w:szCs w:val="28"/>
                <w:lang w:val="en-US" w:eastAsia="zh-CN"/>
              </w:rPr>
              <w:t>4</w:t>
            </w:r>
          </w:p>
        </w:tc>
        <w:tc>
          <w:tcPr>
            <w:tcW w:w="2224"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val="0"/>
                <w:bCs w:val="0"/>
                <w:sz w:val="28"/>
                <w:szCs w:val="28"/>
              </w:rPr>
            </w:pPr>
            <w:r>
              <w:rPr>
                <w:rFonts w:ascii="Times New Roman" w:hAnsi="Times New Roman" w:eastAsia="宋体" w:cs="Times New Roman"/>
                <w:b w:val="0"/>
                <w:bCs/>
                <w:sz w:val="28"/>
                <w:szCs w:val="28"/>
              </w:rPr>
              <w:t>东涌镇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20.</w:t>
            </w:r>
            <w:r>
              <w:rPr>
                <w:rFonts w:hint="eastAsia" w:ascii="Times New Roman" w:hAnsi="Times New Roman" w:eastAsia="宋体" w:cs="Times New Roman"/>
                <w:sz w:val="28"/>
                <w:szCs w:val="28"/>
                <w:lang w:val="en-US" w:eastAsia="zh-CN"/>
              </w:rPr>
              <w:t>61</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64.76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14.42</w:t>
            </w:r>
          </w:p>
        </w:tc>
        <w:tc>
          <w:tcPr>
            <w:tcW w:w="2224"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红草镇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20.66</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62.97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16.37</w:t>
            </w:r>
          </w:p>
        </w:tc>
        <w:tc>
          <w:tcPr>
            <w:tcW w:w="2224"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捷胜镇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22.33</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57.13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20.55</w:t>
            </w:r>
          </w:p>
        </w:tc>
        <w:tc>
          <w:tcPr>
            <w:tcW w:w="2224"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马宫街道</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19.60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62.60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17.81</w:t>
            </w:r>
          </w:p>
        </w:tc>
        <w:tc>
          <w:tcPr>
            <w:tcW w:w="2224"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凤山街道</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20.91</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66.38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12.71</w:t>
            </w:r>
          </w:p>
        </w:tc>
        <w:tc>
          <w:tcPr>
            <w:tcW w:w="2224"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香洲街道</w:t>
            </w:r>
          </w:p>
        </w:tc>
        <w:tc>
          <w:tcPr>
            <w:tcW w:w="17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20.60</w:t>
            </w:r>
          </w:p>
        </w:tc>
        <w:tc>
          <w:tcPr>
            <w:tcW w:w="174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67.79</w:t>
            </w:r>
          </w:p>
        </w:tc>
        <w:tc>
          <w:tcPr>
            <w:tcW w:w="1749"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11.60</w:t>
            </w:r>
          </w:p>
        </w:tc>
        <w:tc>
          <w:tcPr>
            <w:tcW w:w="2224"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8" w:type="dxa"/>
            <w:shd w:val="clear" w:color="auto" w:fill="auto"/>
          </w:tcPr>
          <w:p>
            <w:pPr>
              <w:pStyle w:val="14"/>
              <w:adjustRightInd w:val="0"/>
              <w:snapToGrid w:val="0"/>
              <w:ind w:left="364" w:leftChars="0" w:hanging="364" w:hangingChars="13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新港街道</w:t>
            </w:r>
          </w:p>
        </w:tc>
        <w:tc>
          <w:tcPr>
            <w:tcW w:w="1748" w:type="dxa"/>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21.50</w:t>
            </w:r>
          </w:p>
        </w:tc>
        <w:tc>
          <w:tcPr>
            <w:tcW w:w="1748" w:type="dxa"/>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63.78</w:t>
            </w:r>
          </w:p>
        </w:tc>
        <w:tc>
          <w:tcPr>
            <w:tcW w:w="1749" w:type="dxa"/>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14.71</w:t>
            </w:r>
          </w:p>
        </w:tc>
        <w:tc>
          <w:tcPr>
            <w:tcW w:w="2224" w:type="dxa"/>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10.16</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14"/>
        <w:adjustRightInd w:val="0"/>
        <w:snapToGrid w:val="0"/>
        <w:spacing w:line="580" w:lineRule="exact"/>
        <w:ind w:left="0" w:leftChars="-267" w:hanging="560" w:hangingChars="175"/>
        <w:rPr>
          <w:rFonts w:ascii="Times New Roman" w:hAnsi="Times New Roman" w:eastAsia="仿宋_GB2312" w:cs="Times New Roman"/>
        </w:rPr>
      </w:pPr>
      <w:r>
        <w:rPr>
          <w:rFonts w:ascii="Times New Roman" w:hAnsi="Times New Roman" w:eastAsia="仿宋_GB2312" w:cs="Times New Roman"/>
          <w:b/>
          <w:bCs/>
        </w:rPr>
        <w:t xml:space="preserve">   </w:t>
      </w:r>
      <w:r>
        <w:rPr>
          <w:rFonts w:hint="eastAsia" w:ascii="Times New Roman" w:hAnsi="Times New Roman" w:eastAsia="仿宋_GB2312" w:cs="Times New Roman"/>
          <w:b/>
          <w:bCs/>
          <w:lang w:val="en-US" w:eastAsia="zh-CN"/>
        </w:rPr>
        <w:t xml:space="preserve">    </w:t>
      </w:r>
      <w:r>
        <w:rPr>
          <w:rFonts w:ascii="Times New Roman" w:hAnsi="Times New Roman" w:eastAsia="仿宋_GB2312" w:cs="Times New Roman"/>
          <w:b/>
          <w:bCs/>
        </w:rPr>
        <w:t>家庭单元结构变动明显。</w:t>
      </w:r>
      <w:r>
        <w:rPr>
          <w:rFonts w:ascii="Times New Roman" w:hAnsi="Times New Roman" w:eastAsia="仿宋_GB2312" w:cs="Times New Roman"/>
        </w:rPr>
        <w:t>截止2020年，全区共有家庭户11.03万户，集体户0.77万户，家庭户人口为35.57万人，集体户人口为3.89万人。</w:t>
      </w:r>
    </w:p>
    <w:p>
      <w:pPr>
        <w:spacing w:line="580" w:lineRule="exact"/>
      </w:pPr>
    </w:p>
    <w:p>
      <w:pPr>
        <w:jc w:val="center"/>
        <w:rPr>
          <w:rFonts w:ascii="Times New Roman" w:hAnsi="Times New Roman" w:cs="Times New Roman"/>
        </w:rPr>
      </w:pPr>
      <w:r>
        <w:rPr>
          <w:rFonts w:ascii="Times New Roman" w:hAnsi="Times New Roman" w:cs="Times New Roman"/>
        </w:rPr>
        <w:drawing>
          <wp:inline distT="0" distB="0" distL="0" distR="0">
            <wp:extent cx="5497195" cy="2528570"/>
            <wp:effectExtent l="0" t="0" r="0" b="0"/>
            <wp:docPr id="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pic:cNvPicPr>
                      <a:picLocks noChangeAspect="1" noChangeArrowheads="1"/>
                    </pic:cNvPicPr>
                  </pic:nvPicPr>
                  <pic:blipFill>
                    <a:blip r:embed="rId13" cstate="print"/>
                    <a:srcRect/>
                    <a:stretch>
                      <a:fillRect/>
                    </a:stretch>
                  </pic:blipFill>
                  <pic:spPr>
                    <a:xfrm>
                      <a:off x="0" y="0"/>
                      <a:ext cx="5529771" cy="2543763"/>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图5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区家庭户、集体户分布</w:t>
      </w:r>
      <w:r>
        <w:rPr>
          <w:rFonts w:hint="eastAsia" w:ascii="Times New Roman" w:hAnsi="Times New Roman" w:eastAsia="宋体" w:cs="Times New Roman"/>
          <w:b/>
          <w:bCs/>
          <w:sz w:val="28"/>
          <w:szCs w:val="28"/>
        </w:rPr>
        <w:t xml:space="preserve">   </w:t>
      </w:r>
      <w:r>
        <w:rPr>
          <w:rFonts w:ascii="Times New Roman" w:hAnsi="Times New Roman" w:eastAsia="宋体" w:cs="Times New Roman"/>
          <w:b/>
          <w:bCs/>
          <w:sz w:val="28"/>
          <w:szCs w:val="28"/>
        </w:rPr>
        <w:t>单位：</w:t>
      </w:r>
      <w:r>
        <w:rPr>
          <w:rFonts w:hint="eastAsia" w:ascii="Times New Roman" w:hAnsi="Times New Roman" w:eastAsia="宋体" w:cs="Times New Roman"/>
          <w:b/>
          <w:bCs/>
          <w:sz w:val="28"/>
          <w:szCs w:val="28"/>
        </w:rPr>
        <w:t>万人</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pacing w:line="580" w:lineRule="exact"/>
        <w:ind w:left="0"/>
        <w:rPr>
          <w:rFonts w:ascii="Times New Roman" w:hAnsi="Times New Roman" w:cs="Times New Roman"/>
          <w:lang w:eastAsia="zh-CN"/>
        </w:rPr>
      </w:pPr>
    </w:p>
    <w:p>
      <w:pPr>
        <w:adjustRightInd w:val="0"/>
        <w:snapToGrid w:val="0"/>
        <w:spacing w:line="58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与2010年相比，平均每个家庭户的人口规模由2010年的4.29人/户降至2020年的3.22人/户，平均每个家庭户的人口减少1.07人，低于全市3.41人，高于全省的2.63人和全国的2.62人。原来“四口之家”的核心家庭结构已逐步转为“三口之家”，并成为家庭结构的主体。</w:t>
      </w:r>
    </w:p>
    <w:p>
      <w:pPr>
        <w:pStyle w:val="2"/>
        <w:rPr>
          <w:lang w:eastAsia="zh-CN"/>
        </w:rPr>
      </w:pPr>
    </w:p>
    <w:p/>
    <w:p>
      <w:pPr>
        <w:pStyle w:val="2"/>
        <w:spacing w:line="580" w:lineRule="exact"/>
        <w:ind w:left="108"/>
        <w:rPr>
          <w:rFonts w:ascii="Times New Roman" w:hAnsi="Times New Roman" w:cs="Times New Roman"/>
          <w:lang w:eastAsia="zh-CN"/>
        </w:rPr>
      </w:pPr>
    </w:p>
    <w:p/>
    <w:p>
      <w:pPr>
        <w:jc w:val="center"/>
        <w:rPr>
          <w:rFonts w:ascii="Times New Roman" w:hAnsi="Times New Roman" w:cs="Times New Roman"/>
        </w:rPr>
      </w:pPr>
      <w:r>
        <w:rPr>
          <w:rFonts w:ascii="Times New Roman" w:hAnsi="Times New Roman" w:cs="Times New Roman"/>
        </w:rPr>
        <w:drawing>
          <wp:inline distT="0" distB="0" distL="0" distR="0">
            <wp:extent cx="5615940" cy="2947035"/>
            <wp:effectExtent l="19050" t="0" r="3810" b="0"/>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noChangeArrowheads="1"/>
                    </pic:cNvPicPr>
                  </pic:nvPicPr>
                  <pic:blipFill>
                    <a:blip r:embed="rId14" cstate="print"/>
                    <a:srcRect/>
                    <a:stretch>
                      <a:fillRect/>
                    </a:stretch>
                  </pic:blipFill>
                  <pic:spPr>
                    <a:xfrm>
                      <a:off x="0" y="0"/>
                      <a:ext cx="5615940" cy="2947284"/>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图6  2010-2020年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区家庭户平均人口规模变化</w:t>
      </w:r>
      <w:r>
        <w:rPr>
          <w:rFonts w:hint="eastAsia" w:ascii="Times New Roman" w:hAnsi="Times New Roman" w:eastAsia="宋体" w:cs="Times New Roman"/>
          <w:b/>
          <w:bCs/>
          <w:sz w:val="28"/>
          <w:szCs w:val="28"/>
        </w:rPr>
        <w:t>情况</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spacing w:line="580" w:lineRule="exact"/>
        <w:rPr>
          <w:rFonts w:ascii="Times New Roman" w:hAnsi="Times New Roman" w:cs="Times New Roman"/>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人口健康水平不断提升。</w:t>
      </w: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全区人均预期寿命为81.81岁，高于全市和全省水平（分别为78岁和78.4岁）。全区人口年均死亡率均有所下降。其中，2020年常住人口年均死亡率为3.67‰，比上一年度降低0.67个千分点；户籍人口年均死亡率为3.27‰，比上一年度降低0.75个千分点。妇女儿童健康水平持续提升，全区婴儿死亡率、5岁以下儿童死亡率、孕产妇死亡率、重大慢性病过早死亡率分别下降至4.2‰、3.74‰、0和</w:t>
      </w:r>
      <w:r>
        <w:rPr>
          <w:rFonts w:hint="eastAsia" w:ascii="Times New Roman" w:hAnsi="Times New Roman" w:eastAsia="仿宋_GB2312" w:cs="Times New Roman"/>
          <w:sz w:val="32"/>
          <w:szCs w:val="32"/>
          <w:lang w:val="en-US" w:eastAsia="zh-CN"/>
        </w:rPr>
        <w:t>10.52</w:t>
      </w:r>
      <w:r>
        <w:rPr>
          <w:rFonts w:ascii="Times New Roman" w:hAnsi="Times New Roman" w:eastAsia="仿宋_GB2312" w:cs="Times New Roman"/>
          <w:sz w:val="32"/>
          <w:szCs w:val="32"/>
        </w:rPr>
        <w:t>%，居民健康素养水平提高至28.13%。</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受教育程度显著提高。</w:t>
      </w:r>
      <w:r>
        <w:rPr>
          <w:rFonts w:ascii="Times New Roman" w:hAnsi="Times New Roman" w:eastAsia="仿宋_GB2312" w:cs="Times New Roman"/>
          <w:sz w:val="32"/>
          <w:szCs w:val="32"/>
        </w:rPr>
        <w:t>2020年，全区15岁及以上人口平均受教育年限9.40年，较2010年的9.13年提升0.27年，高于全市同期平均水平8.40年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但仍低于全省10.38年的平均受教育年限。全区常住人口中，拥有大学（指大专及以上）文化程度的人口为4.5万人；拥有高中（含中专）文化程度的人口为6.17万人；拥有初中文化程度的人口为12.56万人；拥有小学文化程度的人口为11.13万人（以上各种受教育程度的人口包括各类学校的毕业生、肄业生和在校生）。</w:t>
      </w:r>
    </w:p>
    <w:p>
      <w:pPr>
        <w:spacing w:line="580" w:lineRule="exact"/>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inline distT="0" distB="0" distL="0" distR="0">
            <wp:extent cx="5479415" cy="246634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cstate="print"/>
                    <a:srcRect/>
                    <a:stretch>
                      <a:fillRect/>
                    </a:stretch>
                  </pic:blipFill>
                  <pic:spPr>
                    <a:xfrm>
                      <a:off x="0" y="0"/>
                      <a:ext cx="5510581" cy="2480952"/>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图7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区每10万常住人口受教育</w:t>
      </w:r>
      <w:r>
        <w:rPr>
          <w:rFonts w:hint="eastAsia" w:ascii="Times New Roman" w:hAnsi="Times New Roman" w:eastAsia="宋体" w:cs="Times New Roman"/>
          <w:b/>
          <w:bCs/>
          <w:sz w:val="28"/>
          <w:szCs w:val="28"/>
        </w:rPr>
        <w:t>程度分布</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snapToGrid w:val="0"/>
        <w:spacing w:line="580" w:lineRule="exact"/>
        <w:rPr>
          <w:rFonts w:ascii="Times New Roman" w:hAnsi="Times New Roman" w:cs="Times New Roman"/>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2010年相比，全区每10万人中拥有大学生文化程度的由0.56万人上升为1.14万人，拥有高中文化程度的由1.80万人下降为1.56万人，高于全市平均水平（全市分别为0.52万人和1.09万人），但仍低于全省总体水平（全省分别为1.57万人和1.82万人）；拥有初中文化程度的由4.04万人下降为3.18万人，低于全市和全省水平（市、省分别为3.45万人和3.55万人）；拥有小学文化程度的由2.65万人上升为2.82万人，高于全省水平（2.07万人），低于全市水平（3.34万人）。</w:t>
      </w:r>
    </w:p>
    <w:p>
      <w:pPr>
        <w:pStyle w:val="2"/>
        <w:spacing w:line="480" w:lineRule="exact"/>
        <w:ind w:left="108"/>
        <w:rPr>
          <w:lang w:eastAsia="zh-CN"/>
        </w:rPr>
      </w:pPr>
    </w:p>
    <w:p>
      <w:pPr>
        <w:jc w:val="center"/>
        <w:rPr>
          <w:rFonts w:ascii="Times New Roman" w:hAnsi="Times New Roman" w:cs="Times New Roman"/>
        </w:rPr>
      </w:pPr>
      <w:r>
        <w:rPr>
          <w:rFonts w:ascii="Times New Roman" w:hAnsi="Times New Roman" w:cs="Times New Roman"/>
        </w:rPr>
        <w:drawing>
          <wp:inline distT="0" distB="0" distL="0" distR="0">
            <wp:extent cx="5379720" cy="225933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cstate="print"/>
                    <a:srcRect/>
                    <a:stretch>
                      <a:fillRect/>
                    </a:stretch>
                  </pic:blipFill>
                  <pic:spPr>
                    <a:xfrm>
                      <a:off x="0" y="0"/>
                      <a:ext cx="5440930" cy="2284886"/>
                    </a:xfrm>
                    <a:prstGeom prst="rect">
                      <a:avLst/>
                    </a:prstGeom>
                    <a:noFill/>
                    <a:ln w="9525">
                      <a:noFill/>
                      <a:miter lim="800000"/>
                      <a:headEnd/>
                      <a:tailEnd/>
                    </a:ln>
                  </pic:spPr>
                </pic:pic>
              </a:graphicData>
            </a:graphic>
          </wp:inline>
        </w:drawing>
      </w:r>
    </w:p>
    <w:p>
      <w:pPr>
        <w:adjustRightInd w:val="0"/>
        <w:snapToGrid w:val="0"/>
        <w:spacing w:line="580" w:lineRule="exact"/>
        <w:jc w:val="center"/>
        <w:rPr>
          <w:rFonts w:ascii="Times New Roman" w:hAnsi="Times New Roman" w:eastAsia="宋体" w:cs="Times New Roman"/>
          <w:b/>
          <w:bCs/>
          <w:sz w:val="28"/>
          <w:szCs w:val="28"/>
        </w:rPr>
      </w:pPr>
      <w:bookmarkStart w:id="2" w:name="_Toc142666137"/>
      <w:r>
        <w:rPr>
          <w:rFonts w:ascii="Times New Roman" w:hAnsi="Times New Roman" w:eastAsia="宋体" w:cs="Times New Roman"/>
          <w:b/>
          <w:bCs/>
          <w:sz w:val="28"/>
          <w:szCs w:val="28"/>
        </w:rPr>
        <w:t>图8   2010-2020年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区常住人口受教育程度变化</w:t>
      </w:r>
      <w:r>
        <w:rPr>
          <w:rFonts w:hint="eastAsia" w:ascii="Times New Roman" w:hAnsi="Times New Roman" w:eastAsia="宋体" w:cs="Times New Roman"/>
          <w:b/>
          <w:bCs/>
          <w:sz w:val="28"/>
          <w:szCs w:val="28"/>
        </w:rPr>
        <w:t>情况</w:t>
      </w:r>
    </w:p>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pStyle w:val="2"/>
        <w:spacing w:line="580" w:lineRule="exact"/>
        <w:ind w:left="108"/>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 xml:space="preserve">     </w:t>
      </w:r>
    </w:p>
    <w:p>
      <w:pPr>
        <w:pStyle w:val="2"/>
        <w:ind w:firstLine="660"/>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全区7个镇（街道）中，平均受教育年限在9年至10年之间的镇（街道）有3个，在9年以下的镇（街道）有4个。</w:t>
      </w: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表5  2020年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区各镇</w:t>
      </w:r>
      <w:r>
        <w:rPr>
          <w:rFonts w:hint="eastAsia" w:ascii="Times New Roman" w:hAnsi="Times New Roman" w:eastAsia="宋体" w:cs="Times New Roman"/>
          <w:b/>
          <w:bCs/>
          <w:sz w:val="28"/>
          <w:szCs w:val="28"/>
          <w:lang w:eastAsia="zh-CN"/>
        </w:rPr>
        <w:t>（街道）</w:t>
      </w:r>
      <w:r>
        <w:rPr>
          <w:rFonts w:ascii="Times New Roman" w:hAnsi="Times New Roman" w:eastAsia="宋体" w:cs="Times New Roman"/>
          <w:b/>
          <w:bCs/>
          <w:sz w:val="28"/>
          <w:szCs w:val="28"/>
        </w:rPr>
        <w:t xml:space="preserve">人均受教育年限 </w:t>
      </w:r>
      <w:r>
        <w:rPr>
          <w:rFonts w:hint="eastAsia" w:ascii="Times New Roman" w:hAnsi="Times New Roman" w:eastAsia="宋体" w:cs="Times New Roman"/>
          <w:b/>
          <w:bCs/>
          <w:sz w:val="28"/>
          <w:szCs w:val="28"/>
        </w:rPr>
        <w:t xml:space="preserve">  </w:t>
      </w:r>
      <w:r>
        <w:rPr>
          <w:rFonts w:ascii="Times New Roman" w:hAnsi="Times New Roman" w:eastAsia="宋体" w:cs="Times New Roman"/>
          <w:b/>
          <w:bCs/>
          <w:sz w:val="28"/>
          <w:szCs w:val="28"/>
        </w:rPr>
        <w:t>单位：万人、%</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地区</w:t>
            </w:r>
          </w:p>
        </w:tc>
        <w:tc>
          <w:tcPr>
            <w:tcW w:w="4338"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ind w:left="0" w:leftChars="0" w:firstLine="0" w:firstLineChars="0"/>
              <w:jc w:val="center"/>
              <w:rPr>
                <w:rFonts w:ascii="Times New Roman" w:hAnsi="Times New Roman" w:eastAsia="宋体" w:cs="Times New Roman"/>
                <w:b w:val="0"/>
                <w:bCs w:val="0"/>
                <w:color w:val="FFFFFF" w:themeColor="background1"/>
                <w:sz w:val="28"/>
                <w:szCs w:val="28"/>
              </w:rPr>
            </w:pPr>
            <w:r>
              <w:rPr>
                <w:rFonts w:ascii="Times New Roman" w:hAnsi="Times New Roman" w:eastAsia="宋体" w:cs="Times New Roman"/>
                <w:b/>
                <w:bCs/>
                <w:color w:val="auto"/>
                <w:sz w:val="28"/>
                <w:szCs w:val="28"/>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sz w:val="28"/>
                <w:szCs w:val="28"/>
              </w:rPr>
              <w:t>全区</w:t>
            </w:r>
          </w:p>
        </w:tc>
        <w:tc>
          <w:tcPr>
            <w:tcW w:w="433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shd w:val="clear" w:color="auto" w:fill="auto"/>
          </w:tcPr>
          <w:p>
            <w:pPr>
              <w:pStyle w:val="14"/>
              <w:adjustRightInd w:val="0"/>
              <w:snapToGrid w:val="0"/>
              <w:ind w:left="0" w:leftChars="0" w:firstLine="0" w:firstLineChars="0"/>
              <w:jc w:val="center"/>
              <w:rPr>
                <w:rFonts w:ascii="Times New Roman" w:hAnsi="Times New Roman" w:eastAsia="宋体" w:cs="Times New Roman"/>
                <w:b/>
                <w:bCs w:val="0"/>
                <w:sz w:val="28"/>
                <w:szCs w:val="28"/>
              </w:rPr>
            </w:pPr>
            <w:r>
              <w:rPr>
                <w:rFonts w:ascii="Times New Roman" w:hAnsi="Times New Roman" w:eastAsia="宋体" w:cs="Times New Roman"/>
                <w:b w:val="0"/>
                <w:bCs/>
                <w:sz w:val="28"/>
                <w:szCs w:val="28"/>
              </w:rPr>
              <w:t>东涌镇</w:t>
            </w:r>
          </w:p>
        </w:tc>
        <w:tc>
          <w:tcPr>
            <w:tcW w:w="4338" w:type="dxa"/>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红草镇</w:t>
            </w:r>
          </w:p>
        </w:tc>
        <w:tc>
          <w:tcPr>
            <w:tcW w:w="433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val="0"/>
                <w:kern w:val="2"/>
                <w:sz w:val="28"/>
                <w:szCs w:val="28"/>
                <w:lang w:val="en-US" w:eastAsia="zh-CN" w:bidi="ar-SA"/>
              </w:rPr>
            </w:pPr>
            <w:r>
              <w:rPr>
                <w:rFonts w:ascii="Times New Roman" w:hAnsi="Times New Roman" w:eastAsia="宋体" w:cs="Times New Roman"/>
                <w:b w:val="0"/>
                <w:bCs/>
                <w:sz w:val="28"/>
                <w:szCs w:val="28"/>
              </w:rPr>
              <w:t>捷胜镇</w:t>
            </w:r>
          </w:p>
        </w:tc>
        <w:tc>
          <w:tcPr>
            <w:tcW w:w="433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马宫街道</w:t>
            </w:r>
          </w:p>
        </w:tc>
        <w:tc>
          <w:tcPr>
            <w:tcW w:w="433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val="0"/>
                <w:bCs w:val="0"/>
                <w:sz w:val="28"/>
                <w:szCs w:val="28"/>
              </w:rPr>
              <w:t>凤山街道</w:t>
            </w:r>
          </w:p>
        </w:tc>
        <w:tc>
          <w:tcPr>
            <w:tcW w:w="4338" w:type="dxa"/>
            <w:tcBorders>
              <w:top w:val="single" w:color="auto" w:sz="4" w:space="0"/>
              <w:left w:val="single" w:color="auto" w:sz="4" w:space="0"/>
              <w:bottom w:val="single" w:color="auto" w:sz="4" w:space="0"/>
              <w:right w:val="single" w:color="auto" w:sz="4" w:space="0"/>
            </w:tcBorders>
            <w:shd w:val="clear" w:color="auto" w:fill="auto"/>
            <w:vAlign w:val="top"/>
          </w:tcPr>
          <w:p>
            <w:pPr>
              <w:pStyle w:val="14"/>
              <w:adjustRightInd w:val="0"/>
              <w:snapToGrid w:val="0"/>
              <w:ind w:left="0" w:leftChars="0" w:firstLine="0" w:firstLineChars="0"/>
              <w:jc w:val="center"/>
              <w:rPr>
                <w:rFonts w:ascii="Times New Roman" w:hAnsi="Times New Roman" w:eastAsia="宋体" w:cs="Times New Roman"/>
                <w:kern w:val="2"/>
                <w:sz w:val="28"/>
                <w:szCs w:val="28"/>
                <w:lang w:val="en-US" w:eastAsia="zh-CN" w:bidi="ar-SA"/>
              </w:rPr>
            </w:pPr>
            <w:r>
              <w:rPr>
                <w:rFonts w:ascii="Times New Roman" w:hAnsi="Times New Roman" w:eastAsia="宋体" w:cs="Times New Roman"/>
                <w:sz w:val="28"/>
                <w:szCs w:val="28"/>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香洲街道</w:t>
            </w:r>
          </w:p>
        </w:tc>
        <w:tc>
          <w:tcPr>
            <w:tcW w:w="433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440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364" w:leftChars="0" w:hanging="364" w:hangingChars="130"/>
              <w:jc w:val="center"/>
              <w:rPr>
                <w:rFonts w:ascii="Times New Roman" w:hAnsi="Times New Roman" w:eastAsia="宋体" w:cs="Times New Roman"/>
                <w:b/>
                <w:bCs/>
                <w:sz w:val="28"/>
                <w:szCs w:val="28"/>
              </w:rPr>
            </w:pPr>
            <w:r>
              <w:rPr>
                <w:rFonts w:ascii="Times New Roman" w:hAnsi="Times New Roman" w:eastAsia="宋体" w:cs="Times New Roman"/>
                <w:b w:val="0"/>
                <w:bCs w:val="0"/>
                <w:sz w:val="28"/>
                <w:szCs w:val="28"/>
              </w:rPr>
              <w:t>新港街道</w:t>
            </w:r>
          </w:p>
        </w:tc>
        <w:tc>
          <w:tcPr>
            <w:tcW w:w="4338"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ind w:left="0" w:leftChars="0" w:firstLine="0" w:firstLineChars="0"/>
              <w:jc w:val="center"/>
              <w:rPr>
                <w:rFonts w:ascii="Times New Roman" w:hAnsi="Times New Roman" w:eastAsia="宋体" w:cs="Times New Roman"/>
                <w:sz w:val="28"/>
                <w:szCs w:val="28"/>
              </w:rPr>
            </w:pPr>
            <w:r>
              <w:rPr>
                <w:rFonts w:ascii="Times New Roman" w:hAnsi="Times New Roman" w:eastAsia="宋体" w:cs="Times New Roman"/>
                <w:sz w:val="28"/>
                <w:szCs w:val="28"/>
              </w:rPr>
              <w:t>8.47</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数据来源：汕尾市城区第七次全国人口普查公报</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（二）人口发展趋势</w:t>
      </w:r>
      <w:bookmarkEnd w:id="2"/>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人口规模总量持续减少。</w:t>
      </w:r>
      <w:r>
        <w:rPr>
          <w:rFonts w:ascii="Times New Roman" w:hAnsi="Times New Roman" w:eastAsia="仿宋_GB2312" w:cs="Times New Roman"/>
          <w:sz w:val="32"/>
          <w:szCs w:val="32"/>
        </w:rPr>
        <w:t>受人口出生率、死亡率、自然增长率、人口总和生育率均呈下降趋势影响，2010-2020年间，全区常住人口和户籍人口均呈负增长。其中，2020年，全区常住人口和户籍人口出生率为10.34‰、10.17‰，分别比上年降低2.87和2.27个千分点；全区常住人口和户籍人口死亡率为3.67‰、3.27‰，分别比上年降低0.67和0.76个千分点；全区常住人口和户籍人口自然增长率为6.67‰、6.90‰，分别比上年降低2.21和1.52个千分点。常住人口和户籍人口总和生育率分别为0.94和0.96，均低于全市平均水平1.54和1.30，处于低生育水平。</w:t>
      </w:r>
    </w:p>
    <w:p>
      <w:pPr>
        <w:pStyle w:val="2"/>
        <w:spacing w:line="580" w:lineRule="exact"/>
        <w:ind w:left="108"/>
        <w:rPr>
          <w:rFonts w:ascii="Times New Roman" w:hAnsi="Times New Roman" w:cs="Times New Roman"/>
          <w:lang w:eastAsia="zh-CN"/>
        </w:rPr>
      </w:pP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表6  近3年</w:t>
      </w:r>
      <w:r>
        <w:rPr>
          <w:rFonts w:hint="eastAsia" w:ascii="Times New Roman" w:hAnsi="Times New Roman" w:eastAsia="宋体" w:cs="Times New Roman"/>
          <w:b/>
          <w:bCs/>
          <w:sz w:val="28"/>
          <w:szCs w:val="28"/>
        </w:rPr>
        <w:t>全</w:t>
      </w:r>
      <w:r>
        <w:rPr>
          <w:rFonts w:ascii="Times New Roman" w:hAnsi="Times New Roman" w:eastAsia="宋体" w:cs="Times New Roman"/>
          <w:b/>
          <w:bCs/>
          <w:sz w:val="28"/>
          <w:szCs w:val="28"/>
        </w:rPr>
        <w:t>区人口出生、死亡、自然增长</w:t>
      </w:r>
      <w:r>
        <w:rPr>
          <w:rFonts w:hint="eastAsia" w:ascii="Times New Roman" w:hAnsi="Times New Roman" w:eastAsia="宋体" w:cs="Times New Roman"/>
          <w:b/>
          <w:bCs/>
          <w:sz w:val="28"/>
          <w:szCs w:val="28"/>
        </w:rPr>
        <w:t>情况</w:t>
      </w:r>
      <w:r>
        <w:rPr>
          <w:rFonts w:ascii="Times New Roman" w:hAnsi="Times New Roman" w:eastAsia="宋体" w:cs="Times New Roman"/>
          <w:b/>
          <w:bCs/>
          <w:sz w:val="28"/>
          <w:szCs w:val="28"/>
        </w:rPr>
        <w:t xml:space="preserve">  单位：‰</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1701"/>
        <w:gridCol w:w="15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94" w:type="dxa"/>
            <w:gridSpan w:val="2"/>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adjustRightInd w:val="0"/>
              <w:snapToGrid w:val="0"/>
              <w:spacing w:before="0" w:after="0"/>
              <w:jc w:val="center"/>
              <w:rPr>
                <w:rFonts w:ascii="Times New Roman" w:hAnsi="Times New Roman" w:eastAsia="宋体" w:cs="Times New Roman"/>
                <w:b w:val="0"/>
                <w:bCs w:val="0"/>
                <w:color w:val="FFFFFF" w:themeColor="background1"/>
                <w:sz w:val="28"/>
                <w:szCs w:val="28"/>
              </w:rPr>
            </w:pPr>
            <w:r>
              <w:rPr>
                <w:rFonts w:hint="eastAsia" w:ascii="Times New Roman" w:hAnsi="Times New Roman" w:eastAsia="宋体" w:cs="Times New Roman"/>
                <w:b/>
                <w:bCs/>
                <w:color w:val="auto"/>
                <w:sz w:val="28"/>
                <w:szCs w:val="28"/>
              </w:rPr>
              <w:t>分类</w:t>
            </w:r>
          </w:p>
        </w:tc>
        <w:tc>
          <w:tcPr>
            <w:tcW w:w="1701"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adjustRightInd w:val="0"/>
              <w:snapToGrid w:val="0"/>
              <w:spacing w:before="0" w:after="0"/>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2018</w:t>
            </w:r>
          </w:p>
        </w:tc>
        <w:tc>
          <w:tcPr>
            <w:tcW w:w="1560"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adjustRightInd w:val="0"/>
              <w:snapToGrid w:val="0"/>
              <w:spacing w:before="0" w:after="0"/>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2019</w:t>
            </w:r>
          </w:p>
        </w:tc>
        <w:tc>
          <w:tcPr>
            <w:tcW w:w="1722"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vAlign w:val="center"/>
          </w:tcPr>
          <w:p>
            <w:pPr>
              <w:adjustRightInd w:val="0"/>
              <w:snapToGrid w:val="0"/>
              <w:spacing w:before="0" w:after="0"/>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宋体" w:hAnsi="宋体" w:eastAsia="宋体" w:cs="Times New Roman"/>
                <w:b/>
                <w:bCs/>
                <w:sz w:val="24"/>
                <w:szCs w:val="24"/>
              </w:rPr>
            </w:pPr>
            <w:r>
              <w:rPr>
                <w:rFonts w:ascii="宋体" w:hAnsi="宋体" w:eastAsia="宋体" w:cs="Times New Roman"/>
                <w:b/>
                <w:bCs/>
                <w:sz w:val="24"/>
                <w:szCs w:val="24"/>
              </w:rPr>
              <w:t>人口出生率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户籍人口</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12.58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12.44</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宋体" w:hAnsi="宋体" w:eastAsia="宋体" w:cs="Times New Roman"/>
                <w:b w:val="0"/>
                <w:bCs w:val="0"/>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常住人口</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14.04</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13.21</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宋体" w:hAnsi="宋体" w:eastAsia="宋体" w:cs="Times New Roman"/>
                <w:b/>
                <w:bCs/>
                <w:sz w:val="24"/>
                <w:szCs w:val="24"/>
              </w:rPr>
            </w:pPr>
            <w:r>
              <w:rPr>
                <w:rFonts w:ascii="宋体" w:hAnsi="宋体" w:eastAsia="宋体" w:cs="Times New Roman"/>
                <w:b/>
                <w:bCs/>
                <w:sz w:val="24"/>
                <w:szCs w:val="24"/>
              </w:rPr>
              <w:t>人口死亡率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户籍人口</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4.66</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4.02</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宋体" w:hAnsi="宋体" w:eastAsia="宋体" w:cs="Times New Roman"/>
                <w:b w:val="0"/>
                <w:bCs w:val="0"/>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常住人口</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5.19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4.34</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restart"/>
            <w:tcBorders>
              <w:top w:val="single" w:color="auto" w:sz="4" w:space="0"/>
              <w:left w:val="single" w:color="auto" w:sz="4" w:space="0"/>
              <w:right w:val="single" w:color="auto" w:sz="4" w:space="0"/>
            </w:tcBorders>
            <w:shd w:val="clear" w:color="auto" w:fill="auto"/>
            <w:vAlign w:val="center"/>
          </w:tcPr>
          <w:p>
            <w:pPr>
              <w:pStyle w:val="14"/>
              <w:adjustRightInd w:val="0"/>
              <w:snapToGrid w:val="0"/>
              <w:ind w:left="0" w:leftChars="0" w:firstLine="0" w:firstLineChars="0"/>
              <w:jc w:val="center"/>
              <w:rPr>
                <w:rFonts w:ascii="宋体" w:hAnsi="宋体" w:eastAsia="宋体" w:cs="Times New Roman"/>
                <w:b/>
                <w:bCs/>
                <w:sz w:val="24"/>
                <w:szCs w:val="24"/>
              </w:rPr>
            </w:pPr>
            <w:r>
              <w:rPr>
                <w:rFonts w:ascii="宋体" w:hAnsi="宋体" w:eastAsia="宋体" w:cs="Times New Roman"/>
                <w:b/>
                <w:bCs/>
                <w:sz w:val="24"/>
                <w:szCs w:val="24"/>
              </w:rPr>
              <w:t>自然增长率</w:t>
            </w:r>
          </w:p>
        </w:tc>
        <w:tc>
          <w:tcPr>
            <w:tcW w:w="1701"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户籍人口</w:t>
            </w:r>
          </w:p>
        </w:tc>
        <w:tc>
          <w:tcPr>
            <w:tcW w:w="1701"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7.91</w:t>
            </w:r>
          </w:p>
        </w:tc>
        <w:tc>
          <w:tcPr>
            <w:tcW w:w="1560"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8.42</w:t>
            </w:r>
          </w:p>
        </w:tc>
        <w:tc>
          <w:tcPr>
            <w:tcW w:w="1722"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93" w:type="dxa"/>
            <w:vMerge w:val="continue"/>
            <w:tcBorders>
              <w:left w:val="single" w:color="auto" w:sz="4" w:space="0"/>
            </w:tcBorders>
            <w:shd w:val="clear" w:color="auto" w:fill="auto"/>
            <w:vAlign w:val="center"/>
          </w:tcPr>
          <w:p>
            <w:pPr>
              <w:pStyle w:val="14"/>
              <w:adjustRightInd w:val="0"/>
              <w:snapToGrid w:val="0"/>
              <w:ind w:left="0" w:leftChars="0" w:firstLine="0" w:firstLineChars="0"/>
              <w:jc w:val="center"/>
              <w:rPr>
                <w:rFonts w:ascii="Times New Roman" w:hAnsi="Times New Roman" w:eastAsia="仿宋_GB2312" w:cs="Times New Roman"/>
                <w:b w:val="0"/>
                <w:bCs w:val="0"/>
                <w:spacing w:val="-20"/>
                <w:sz w:val="24"/>
                <w:szCs w:val="24"/>
              </w:rPr>
            </w:pPr>
          </w:p>
        </w:tc>
        <w:tc>
          <w:tcPr>
            <w:tcW w:w="1701" w:type="dxa"/>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常住人口</w:t>
            </w:r>
          </w:p>
        </w:tc>
        <w:tc>
          <w:tcPr>
            <w:tcW w:w="1701" w:type="dxa"/>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8.85</w:t>
            </w:r>
          </w:p>
        </w:tc>
        <w:tc>
          <w:tcPr>
            <w:tcW w:w="1560" w:type="dxa"/>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8.88</w:t>
            </w:r>
          </w:p>
        </w:tc>
        <w:tc>
          <w:tcPr>
            <w:tcW w:w="1722" w:type="dxa"/>
            <w:shd w:val="clear" w:color="auto" w:fill="auto"/>
            <w:vAlign w:val="center"/>
          </w:tcPr>
          <w:p>
            <w:pPr>
              <w:adjustRightInd w:val="0"/>
              <w:snapToGrid w:val="0"/>
              <w:jc w:val="center"/>
              <w:rPr>
                <w:rFonts w:ascii="Times New Roman" w:hAnsi="Times New Roman" w:eastAsia="宋体" w:cs="Times New Roman"/>
                <w:sz w:val="28"/>
                <w:szCs w:val="28"/>
              </w:rPr>
            </w:pPr>
            <w:r>
              <w:rPr>
                <w:rFonts w:ascii="Times New Roman" w:hAnsi="Times New Roman" w:eastAsia="宋体" w:cs="Times New Roman"/>
                <w:sz w:val="28"/>
                <w:szCs w:val="28"/>
              </w:rPr>
              <w:t>6.67</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数据来源：根据汕尾市城区卫健局调研资料整理</w:t>
      </w:r>
    </w:p>
    <w:p>
      <w:pPr>
        <w:pStyle w:val="2"/>
        <w:spacing w:line="580" w:lineRule="exact"/>
        <w:ind w:left="108"/>
        <w:rPr>
          <w:rFonts w:ascii="Times New Roman" w:hAnsi="Times New Roman" w:cs="Times New Roman"/>
          <w:lang w:eastAsia="zh-CN"/>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过去十年人口变动趋势与生育旺盛期育龄妇女人数变化推算，未来十五年全区常住人口将减少4.54%左右，预计2035年城区常住人口规模将减少到37.65万左右；全区户籍人口将减少1.5%。预计2035年户籍人口规模将减少到38.42万左右。</w:t>
      </w:r>
    </w:p>
    <w:p>
      <w:pPr>
        <w:pStyle w:val="2"/>
        <w:adjustRightInd w:val="0"/>
        <w:snapToGrid w:val="0"/>
        <w:spacing w:line="580" w:lineRule="exact"/>
        <w:ind w:left="108"/>
        <w:rPr>
          <w:rFonts w:ascii="Times New Roman" w:hAnsi="Times New Roman" w:eastAsia="仿宋_GB2312" w:cs="Times New Roman"/>
          <w:sz w:val="32"/>
          <w:szCs w:val="32"/>
          <w:lang w:eastAsia="zh-CN"/>
        </w:rPr>
      </w:pP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  近3年</w:t>
      </w:r>
      <w:r>
        <w:rPr>
          <w:rFonts w:hint="eastAsia" w:ascii="Times New Roman" w:hAnsi="Times New Roman" w:eastAsia="宋体" w:cs="Times New Roman"/>
          <w:b/>
          <w:bCs/>
          <w:sz w:val="28"/>
          <w:szCs w:val="28"/>
        </w:rPr>
        <w:t>全区</w:t>
      </w:r>
      <w:r>
        <w:rPr>
          <w:rFonts w:ascii="Times New Roman" w:hAnsi="Times New Roman" w:eastAsia="宋体" w:cs="Times New Roman"/>
          <w:b/>
          <w:bCs/>
          <w:sz w:val="28"/>
          <w:szCs w:val="28"/>
        </w:rPr>
        <w:t>常住人口生育情况</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1310"/>
        <w:gridCol w:w="124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4519"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pStyle w:val="14"/>
              <w:adjustRightInd w:val="0"/>
              <w:snapToGrid w:val="0"/>
              <w:spacing w:before="0" w:after="0" w:line="500" w:lineRule="exact"/>
              <w:ind w:left="0" w:leftChars="0" w:firstLine="0" w:firstLineChars="0"/>
              <w:jc w:val="center"/>
              <w:rPr>
                <w:rFonts w:ascii="Times New Roman" w:hAnsi="Times New Roman" w:eastAsia="宋体" w:cs="Times New Roman"/>
                <w:b w:val="0"/>
                <w:bCs/>
                <w:color w:val="FFFFFF" w:themeColor="background1"/>
                <w:sz w:val="28"/>
                <w:szCs w:val="28"/>
              </w:rPr>
            </w:pPr>
            <w:r>
              <w:rPr>
                <w:rFonts w:hint="eastAsia" w:ascii="Times New Roman" w:hAnsi="Times New Roman" w:eastAsia="宋体" w:cs="Times New Roman"/>
                <w:b/>
                <w:bCs w:val="0"/>
                <w:color w:val="auto"/>
                <w:sz w:val="28"/>
                <w:szCs w:val="28"/>
              </w:rPr>
              <w:t>分类</w:t>
            </w:r>
          </w:p>
        </w:tc>
        <w:tc>
          <w:tcPr>
            <w:tcW w:w="1310"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adjustRightInd w:val="0"/>
              <w:snapToGrid w:val="0"/>
              <w:spacing w:before="0" w:after="0" w:line="500" w:lineRule="exact"/>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2018</w:t>
            </w:r>
          </w:p>
        </w:tc>
        <w:tc>
          <w:tcPr>
            <w:tcW w:w="1249"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adjustRightInd w:val="0"/>
              <w:snapToGrid w:val="0"/>
              <w:spacing w:before="0" w:after="0" w:line="500" w:lineRule="exact"/>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2019</w:t>
            </w:r>
          </w:p>
        </w:tc>
        <w:tc>
          <w:tcPr>
            <w:tcW w:w="1470"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tcPr>
          <w:p>
            <w:pPr>
              <w:adjustRightInd w:val="0"/>
              <w:snapToGrid w:val="0"/>
              <w:spacing w:before="0" w:after="0" w:line="500" w:lineRule="exact"/>
              <w:jc w:val="center"/>
              <w:rPr>
                <w:rFonts w:ascii="Times New Roman" w:hAnsi="Times New Roman" w:eastAsia="宋体" w:cs="Times New Roman"/>
                <w:b w:val="0"/>
                <w:bCs/>
                <w:color w:val="FFFFFF" w:themeColor="background1"/>
                <w:sz w:val="28"/>
                <w:szCs w:val="28"/>
              </w:rPr>
            </w:pPr>
            <w:r>
              <w:rPr>
                <w:rFonts w:ascii="Times New Roman" w:hAnsi="Times New Roman" w:eastAsia="宋体" w:cs="Times New Roman"/>
                <w:b/>
                <w:bCs/>
                <w:color w:val="auto"/>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4519"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500" w:lineRule="exact"/>
              <w:ind w:left="0" w:leftChars="0" w:firstLine="0" w:firstLineChars="0"/>
              <w:rPr>
                <w:rFonts w:ascii="Times New Roman" w:hAnsi="Times New Roman" w:eastAsia="宋体" w:cs="Times New Roman"/>
                <w:b/>
                <w:bCs/>
                <w:spacing w:val="-20"/>
                <w:sz w:val="28"/>
                <w:szCs w:val="28"/>
              </w:rPr>
            </w:pPr>
            <w:r>
              <w:rPr>
                <w:rFonts w:ascii="Times New Roman" w:hAnsi="Times New Roman" w:eastAsia="宋体" w:cs="Times New Roman"/>
                <w:b w:val="0"/>
                <w:bCs/>
                <w:spacing w:val="-20"/>
                <w:sz w:val="28"/>
                <w:szCs w:val="28"/>
              </w:rPr>
              <w:t>常住人口分孩次的生育人数（万人）</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0.5114</w:t>
            </w:r>
          </w:p>
        </w:tc>
        <w:tc>
          <w:tcPr>
            <w:tcW w:w="1249"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0.4759</w:t>
            </w:r>
          </w:p>
        </w:tc>
        <w:tc>
          <w:tcPr>
            <w:tcW w:w="147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4519"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500" w:lineRule="exact"/>
              <w:ind w:left="0" w:leftChars="0" w:firstLine="0" w:firstLineChars="0"/>
              <w:rPr>
                <w:rFonts w:ascii="Times New Roman" w:hAnsi="Times New Roman" w:eastAsia="宋体" w:cs="Times New Roman"/>
                <w:b/>
                <w:bCs/>
                <w:spacing w:val="-20"/>
                <w:sz w:val="28"/>
                <w:szCs w:val="28"/>
              </w:rPr>
            </w:pPr>
            <w:r>
              <w:rPr>
                <w:rFonts w:ascii="Times New Roman" w:hAnsi="Times New Roman" w:eastAsia="宋体" w:cs="Times New Roman"/>
                <w:b w:val="0"/>
                <w:bCs/>
                <w:spacing w:val="-20"/>
                <w:sz w:val="28"/>
                <w:szCs w:val="28"/>
              </w:rPr>
              <w:t>常住人口总和生育率</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1.25</w:t>
            </w:r>
          </w:p>
        </w:tc>
        <w:tc>
          <w:tcPr>
            <w:tcW w:w="1249"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1.16</w:t>
            </w:r>
          </w:p>
        </w:tc>
        <w:tc>
          <w:tcPr>
            <w:tcW w:w="147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4519" w:type="dxa"/>
            <w:tcBorders>
              <w:top w:val="single" w:color="auto" w:sz="4" w:space="0"/>
              <w:left w:val="single" w:color="auto" w:sz="4" w:space="0"/>
              <w:bottom w:val="single" w:color="auto" w:sz="4" w:space="0"/>
              <w:right w:val="single" w:color="auto" w:sz="4" w:space="0"/>
            </w:tcBorders>
            <w:shd w:val="clear" w:color="auto" w:fill="auto"/>
          </w:tcPr>
          <w:p>
            <w:pPr>
              <w:pStyle w:val="14"/>
              <w:adjustRightInd w:val="0"/>
              <w:snapToGrid w:val="0"/>
              <w:spacing w:line="500" w:lineRule="exact"/>
              <w:ind w:left="0" w:leftChars="0" w:firstLine="0" w:firstLineChars="0"/>
              <w:rPr>
                <w:rFonts w:ascii="Times New Roman" w:hAnsi="Times New Roman" w:eastAsia="宋体" w:cs="Times New Roman"/>
                <w:b/>
                <w:bCs/>
                <w:spacing w:val="-20"/>
                <w:sz w:val="28"/>
                <w:szCs w:val="28"/>
              </w:rPr>
            </w:pPr>
            <w:r>
              <w:rPr>
                <w:rFonts w:ascii="Times New Roman" w:hAnsi="Times New Roman" w:eastAsia="宋体" w:cs="Times New Roman"/>
                <w:b w:val="0"/>
                <w:bCs/>
                <w:spacing w:val="-20"/>
                <w:sz w:val="28"/>
                <w:szCs w:val="28"/>
              </w:rPr>
              <w:t>户籍人口分孩次的生育人数（万人）</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0.5396</w:t>
            </w:r>
          </w:p>
        </w:tc>
        <w:tc>
          <w:tcPr>
            <w:tcW w:w="1249"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0.5354</w:t>
            </w:r>
          </w:p>
        </w:tc>
        <w:tc>
          <w:tcPr>
            <w:tcW w:w="147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4519" w:type="dxa"/>
            <w:tcBorders>
              <w:top w:val="single" w:color="auto" w:sz="4" w:space="0"/>
              <w:left w:val="single" w:color="auto" w:sz="4" w:space="0"/>
              <w:right w:val="single" w:color="auto" w:sz="4" w:space="0"/>
            </w:tcBorders>
            <w:shd w:val="clear" w:color="auto" w:fill="auto"/>
          </w:tcPr>
          <w:p>
            <w:pPr>
              <w:pStyle w:val="14"/>
              <w:adjustRightInd w:val="0"/>
              <w:snapToGrid w:val="0"/>
              <w:spacing w:line="500" w:lineRule="exact"/>
              <w:ind w:left="0" w:leftChars="0" w:firstLine="0" w:firstLineChars="0"/>
              <w:rPr>
                <w:rFonts w:ascii="Times New Roman" w:hAnsi="Times New Roman" w:eastAsia="宋体" w:cs="Times New Roman"/>
                <w:b/>
                <w:bCs/>
                <w:spacing w:val="-20"/>
                <w:sz w:val="28"/>
                <w:szCs w:val="28"/>
              </w:rPr>
            </w:pPr>
            <w:r>
              <w:rPr>
                <w:rFonts w:ascii="Times New Roman" w:hAnsi="Times New Roman" w:eastAsia="宋体" w:cs="Times New Roman"/>
                <w:b w:val="0"/>
                <w:bCs/>
                <w:spacing w:val="-20"/>
                <w:sz w:val="28"/>
                <w:szCs w:val="28"/>
              </w:rPr>
              <w:t>常住人口总和生育率</w:t>
            </w:r>
          </w:p>
        </w:tc>
        <w:tc>
          <w:tcPr>
            <w:tcW w:w="1310" w:type="dxa"/>
            <w:tcBorders>
              <w:top w:val="single" w:color="auto" w:sz="4" w:space="0"/>
              <w:left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1.18</w:t>
            </w:r>
          </w:p>
        </w:tc>
        <w:tc>
          <w:tcPr>
            <w:tcW w:w="1249" w:type="dxa"/>
            <w:tcBorders>
              <w:top w:val="single" w:color="auto" w:sz="4" w:space="0"/>
              <w:left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1.16</w:t>
            </w:r>
          </w:p>
        </w:tc>
        <w:tc>
          <w:tcPr>
            <w:tcW w:w="1470" w:type="dxa"/>
            <w:tcBorders>
              <w:top w:val="single" w:color="auto" w:sz="4" w:space="0"/>
              <w:left w:val="single" w:color="auto" w:sz="4" w:space="0"/>
              <w:right w:val="single" w:color="auto" w:sz="4" w:space="0"/>
            </w:tcBorders>
            <w:shd w:val="clear" w:color="auto" w:fill="auto"/>
          </w:tcPr>
          <w:p>
            <w:pPr>
              <w:adjustRightInd w:val="0"/>
              <w:snapToGrid w:val="0"/>
              <w:spacing w:line="5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0.96</w:t>
            </w:r>
          </w:p>
        </w:tc>
      </w:tr>
    </w:tbl>
    <w:p>
      <w:pPr>
        <w:spacing w:line="400" w:lineRule="atLeas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数据来源：根据汕尾市城区卫健局调研资料整理</w:t>
      </w:r>
    </w:p>
    <w:p>
      <w:pPr>
        <w:adjustRightInd w:val="0"/>
        <w:snapToGrid w:val="0"/>
        <w:spacing w:line="580" w:lineRule="exact"/>
        <w:ind w:firstLine="640" w:firstLineChars="200"/>
        <w:rPr>
          <w:rFonts w:ascii="Times New Roman" w:hAnsi="Times New Roman" w:eastAsia="仿宋_GB2312" w:cs="Times New Roman"/>
          <w:b/>
          <w:bCs/>
          <w:sz w:val="32"/>
          <w:szCs w:val="32"/>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老龄化趋势有所加剧。</w:t>
      </w:r>
      <w:r>
        <w:rPr>
          <w:rFonts w:ascii="Times New Roman" w:hAnsi="Times New Roman" w:eastAsia="仿宋_GB2312" w:cs="Times New Roman"/>
          <w:sz w:val="32"/>
          <w:szCs w:val="32"/>
        </w:rPr>
        <w:t>2010-2020年间，全区人口老龄化程度明显加快，全区65岁及以上老年人口为3.76万人，占全区总人口</w:t>
      </w:r>
      <w:r>
        <w:rPr>
          <w:rFonts w:ascii="Times New Roman" w:hAnsi="Times New Roman" w:eastAsia="仿宋_GB2312" w:cs="Times New Roman"/>
          <w:snapToGrid w:val="0"/>
          <w:kern w:val="0"/>
          <w:sz w:val="32"/>
          <w:szCs w:val="32"/>
        </w:rPr>
        <w:t>9.52%，</w:t>
      </w:r>
      <w:r>
        <w:rPr>
          <w:rFonts w:ascii="Times New Roman" w:hAnsi="Times New Roman" w:eastAsia="仿宋_GB2312" w:cs="Times New Roman"/>
          <w:sz w:val="32"/>
          <w:szCs w:val="32"/>
        </w:rPr>
        <w:t xml:space="preserve">接近10%。随着生活水平的不断提高和医疗条件的持续改善，预计未来十五年内还将持续增加，城区65岁以上老人所占比重将超过12.5%，城区人口老龄化趋势较为明显，社会抚养负担将进一步加剧。    </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人口健康水平逐步提高。</w:t>
      </w:r>
      <w:r>
        <w:rPr>
          <w:rFonts w:ascii="Times New Roman" w:hAnsi="Times New Roman" w:eastAsia="仿宋_GB2312" w:cs="Times New Roman"/>
          <w:sz w:val="32"/>
          <w:szCs w:val="32"/>
        </w:rPr>
        <w:t>随着生活质量、医疗条件和社会保障水平的不断提高，未来十五年婴幼儿死亡率、孕产妇死亡率逐步降低，妇女儿童健康水平持续提升。重大慢性病过早死亡率降低，全区人均寿命预期将从2020年的81.81岁提高到2035年的83岁。</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家庭结构呈现多样化趋势。</w:t>
      </w:r>
      <w:r>
        <w:rPr>
          <w:rFonts w:ascii="Times New Roman" w:hAnsi="Times New Roman" w:eastAsia="仿宋_GB2312" w:cs="Times New Roman"/>
          <w:sz w:val="32"/>
          <w:szCs w:val="32"/>
        </w:rPr>
        <w:t>未来十五年，全区家庭居住离散化、关系松散化、生活社会化程度将逐步提高，家庭规模逐渐缩小。同时，家庭结构将呈现多样化趋势，核心家庭、直系家庭仍将是主要的家庭形式，单人家庭、单亲家庭、丁克家庭占比将有所提高，空巢家庭、隔代家庭、纯老家庭、独居老人家庭等将逐渐增多。</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3" w:name="_Toc142666138"/>
      <w:r>
        <w:rPr>
          <w:rFonts w:ascii="Times New Roman" w:hAnsi="Times New Roman" w:eastAsia="楷体_GB2312" w:cs="Times New Roman"/>
          <w:sz w:val="32"/>
          <w:szCs w:val="32"/>
        </w:rPr>
        <w:t>（三）人口发展面临的问题和挑战</w:t>
      </w:r>
      <w:bookmarkEnd w:id="3"/>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生育水平适度提升困难。</w:t>
      </w:r>
      <w:r>
        <w:rPr>
          <w:rFonts w:ascii="Times New Roman" w:hAnsi="Times New Roman" w:eastAsia="仿宋_GB2312" w:cs="Times New Roman"/>
          <w:sz w:val="32"/>
          <w:szCs w:val="32"/>
        </w:rPr>
        <w:t>受人口结构影响，未来十五年，全区育龄妇女总数持续减少，生育、养育、教育成本较高，群众生育意愿下降，总和生育率明显低于世代更替水平。在短时期内扭转生育率下滑趋势，引导生育水平适度提升并稳定在合理区间将面临较多困难。</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人力资源短缺日益凸显。</w:t>
      </w:r>
      <w:r>
        <w:rPr>
          <w:rFonts w:ascii="Times New Roman" w:hAnsi="Times New Roman" w:eastAsia="仿宋_GB2312" w:cs="Times New Roman"/>
          <w:sz w:val="32"/>
          <w:szCs w:val="32"/>
        </w:rPr>
        <w:t>广深莞佛等经济发达地区对劳动人口和人才吸引力相对增强，居民受教育程度不断提升，导致人口流出持续增加。受全区发展水平、生活质量、居民收入水平相对较低的影响、人口吸引竞争力较弱，人文环境和人才智力聚集度不够。存量人口增长趋缓，人口老龄化加剧，户籍人口不断减少，劳动力短缺压力凸显。</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社会养老保障压力加大。</w:t>
      </w:r>
      <w:r>
        <w:rPr>
          <w:rFonts w:ascii="Times New Roman" w:hAnsi="Times New Roman" w:eastAsia="仿宋_GB2312" w:cs="Times New Roman"/>
          <w:sz w:val="32"/>
          <w:szCs w:val="32"/>
        </w:rPr>
        <w:t>全区老年人口比重逐步上升，规模日益庞大，造成退休金、养老保险金大幅度增加，社保资金缺口增大，社保压力加大。全区老年公寓、养老院、城乡医疗机构严重不足。“家庭结构”</w:t>
      </w:r>
      <w:r>
        <w:rPr>
          <w:rFonts w:hint="eastAsia" w:ascii="Times New Roman" w:hAnsi="Times New Roman" w:eastAsia="仿宋_GB2312" w:cs="Times New Roman"/>
          <w:sz w:val="32"/>
          <w:szCs w:val="32"/>
          <w:lang w:eastAsia="zh-CN"/>
        </w:rPr>
        <w:t>调整</w:t>
      </w:r>
      <w:r>
        <w:rPr>
          <w:rFonts w:ascii="Times New Roman" w:hAnsi="Times New Roman" w:eastAsia="仿宋_GB2312" w:cs="Times New Roman"/>
          <w:sz w:val="32"/>
          <w:szCs w:val="32"/>
        </w:rPr>
        <w:t>将持续对养老、医疗和公共服务产生巨大的压力。</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公共服务短板亟待弥补。</w:t>
      </w:r>
      <w:r>
        <w:rPr>
          <w:rFonts w:ascii="Times New Roman" w:hAnsi="Times New Roman" w:eastAsia="仿宋_GB2312" w:cs="Times New Roman"/>
          <w:sz w:val="32"/>
          <w:szCs w:val="32"/>
        </w:rPr>
        <w:t>全区教育、就业、人才引进、养老、医疗、生育、普惠托育等领域配套政策忒待推进，城乡公共资源均衡配置机制尚需完善，基本公共服务均等化水平和服务保障能力仍需提高，统筹解决人口问题的综合决策、战略规划、政策协调和社会治理等机制建设仍需加强。</w:t>
      </w:r>
    </w:p>
    <w:p>
      <w:pPr>
        <w:adjustRightInd w:val="0"/>
        <w:snapToGrid w:val="0"/>
        <w:spacing w:line="580" w:lineRule="exact"/>
        <w:ind w:firstLine="640" w:firstLineChars="200"/>
        <w:outlineLvl w:val="0"/>
        <w:rPr>
          <w:rFonts w:ascii="Times New Roman" w:hAnsi="Times New Roman" w:eastAsia="黑体" w:cs="Times New Roman"/>
          <w:sz w:val="32"/>
          <w:szCs w:val="32"/>
        </w:rPr>
      </w:pPr>
      <w:bookmarkStart w:id="4" w:name="_Toc142666139"/>
      <w:r>
        <w:rPr>
          <w:rFonts w:ascii="Times New Roman" w:hAnsi="Times New Roman" w:eastAsia="黑体" w:cs="Times New Roman"/>
          <w:sz w:val="32"/>
          <w:szCs w:val="32"/>
        </w:rPr>
        <w:t>二、总体思路</w:t>
      </w:r>
      <w:bookmarkEnd w:id="4"/>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5" w:name="_Toc142666140"/>
      <w:r>
        <w:rPr>
          <w:rFonts w:ascii="Times New Roman" w:hAnsi="Times New Roman" w:eastAsia="楷体_GB2312" w:cs="Times New Roman"/>
          <w:sz w:val="32"/>
          <w:szCs w:val="32"/>
        </w:rPr>
        <w:t>（一）指导思想</w:t>
      </w:r>
      <w:bookmarkEnd w:id="5"/>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高举中国特色社会主义伟大旗帜，全面贯彻党的十九大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十九届历次全会</w:t>
      </w:r>
      <w:r>
        <w:rPr>
          <w:rFonts w:hint="eastAsia" w:ascii="Times New Roman" w:hAnsi="Times New Roman" w:eastAsia="仿宋_GB2312" w:cs="Times New Roman"/>
          <w:sz w:val="32"/>
          <w:szCs w:val="32"/>
          <w:lang w:eastAsia="zh-CN"/>
        </w:rPr>
        <w:t>和二十大</w:t>
      </w:r>
      <w:r>
        <w:rPr>
          <w:rFonts w:ascii="Times New Roman" w:hAnsi="Times New Roman" w:eastAsia="仿宋_GB2312" w:cs="Times New Roman"/>
          <w:sz w:val="32"/>
          <w:szCs w:val="32"/>
        </w:rPr>
        <w:t>精神，坚持以习近平新时代中国特色社会主义思想为指导，紧紧围绕统筹推进“五位一体”总体布局和协调推进“四个全面”战略布局，牢固树立创新、协调、绿色、开放、共享的新发展理念，全面实施“六一战略”，坚持以人民为中心，强化人口发展的战略地位和基础作用，创新人口管理与服务政策，实施积极的人口发展战略。以提升人口发展质量，挖掘“第二次人口红利”为主线，以“降低生育、养育、教育成本，全面提高人口素质”为抓手，以“提升城市综合竞争力，增强人口与人才吸引力”为突破口，全方位提高公共服务水平，积极应对人口老龄化，创造有利于汕尾市城区经济社会和资源环境发展的人口新势能，实现人口发展转型升级，为汕尾市城区的现代化建设提供坚实基础和持久动力。</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6" w:name="_Toc142666141"/>
      <w:r>
        <w:rPr>
          <w:rFonts w:ascii="Times New Roman" w:hAnsi="Times New Roman" w:eastAsia="楷体_GB2312" w:cs="Times New Roman"/>
          <w:sz w:val="32"/>
          <w:szCs w:val="32"/>
        </w:rPr>
        <w:t>（二）基本原则</w:t>
      </w:r>
      <w:bookmarkEnd w:id="6"/>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未来十五年，推动全区人口健康、稳步、协调、适度、均衡发展，必须遵循以下原则：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坚持党的领导，高质发展。</w:t>
      </w:r>
      <w:r>
        <w:rPr>
          <w:rFonts w:ascii="Times New Roman" w:hAnsi="Times New Roman" w:eastAsia="仿宋_GB2312" w:cs="Times New Roman"/>
          <w:sz w:val="32"/>
          <w:szCs w:val="32"/>
        </w:rPr>
        <w:t>始终坚持党对人口发展事业的全面领导，不断健全和完善党领导人口发展的体制机制，把党的领导落实到人口发展的各领域各环节，为高质量推进人口长期均衡发展提供根本保证。</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坚持人民至上，共享发展。</w:t>
      </w:r>
      <w:r>
        <w:rPr>
          <w:rFonts w:ascii="Times New Roman" w:hAnsi="Times New Roman" w:eastAsia="仿宋_GB2312" w:cs="Times New Roman"/>
          <w:sz w:val="32"/>
          <w:szCs w:val="32"/>
        </w:rPr>
        <w:t>以增进人民福祉、促进人的全面发展为目标，更加注重底线公平和机会均等，维护公民的合法权益，更加注重保障和改善民生。通过不断完善公共服务保障，推进公共服务均等化，提高公共服务水平，建立健全面向全人群、覆盖全生命周期的人口发展政策体系，增强普惠性、均衡性和可及性，促进共同参与，实现共享发展。</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坚持统筹兼顾，协调发展。</w:t>
      </w:r>
      <w:r>
        <w:rPr>
          <w:rFonts w:ascii="Times New Roman" w:hAnsi="Times New Roman" w:eastAsia="仿宋_GB2312" w:cs="Times New Roman"/>
          <w:sz w:val="32"/>
          <w:szCs w:val="32"/>
        </w:rPr>
        <w:t>注重人口发展政策措施的系统性、整体性和协同性，统筹处理好人口数量、素质、结构、分布之间的关系，在经济社会发展重大决策中，充分考虑人口因素，发挥人口能动作用，推进人口与经济、社会、资源、环境协调发展，健全人口发展综合决策机制，增强人口发展与相关政策的协调性。</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坚持集聚提升，融合发展。</w:t>
      </w:r>
      <w:r>
        <w:rPr>
          <w:rFonts w:ascii="Times New Roman" w:hAnsi="Times New Roman" w:eastAsia="仿宋_GB2312" w:cs="Times New Roman"/>
          <w:sz w:val="32"/>
          <w:szCs w:val="32"/>
        </w:rPr>
        <w:t>大力实施以人为中心的新型城镇化战略，深化户籍制度、社会保障制度改革，完善城市功能体系，提高城市宜居水平。坚持“引进来”“走出去”相结合，解决好城区人口发展内外联动问题。加快推进农村转移人口市民化，不断增强中心城区人口集聚度，将中心城区打造成为集聚创新创业人群的主平台。</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坚持改革创新，均衡发展。</w:t>
      </w:r>
      <w:r>
        <w:rPr>
          <w:rFonts w:ascii="Times New Roman" w:hAnsi="Times New Roman" w:eastAsia="仿宋_GB2312" w:cs="Times New Roman"/>
          <w:sz w:val="32"/>
          <w:szCs w:val="32"/>
        </w:rPr>
        <w:t>准确把握人口发展趋势和阶段性特征，积极转变人口调控理念，统筹研究完善人口与产业、住房、卫生等公共服务政策，推进生育政策与服务管理制度、家庭发展支持体系和治理机制综合改革，完善人口服务体系和工作机制，促进城区人口发展与经济社会发展相适应。推动实现适度生育水平，确保人口长周期可持续发展，稳定新成长高素质劳动力供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坚持系统思维，绿色发展。</w:t>
      </w:r>
      <w:r>
        <w:rPr>
          <w:rFonts w:ascii="Times New Roman" w:hAnsi="Times New Roman" w:eastAsia="仿宋_GB2312" w:cs="Times New Roman"/>
          <w:bCs/>
          <w:sz w:val="32"/>
          <w:szCs w:val="32"/>
        </w:rPr>
        <w:t>根据城区产业特点，</w:t>
      </w:r>
      <w:r>
        <w:rPr>
          <w:rFonts w:ascii="Times New Roman" w:hAnsi="Times New Roman" w:eastAsia="仿宋_GB2312" w:cs="Times New Roman"/>
          <w:sz w:val="32"/>
          <w:szCs w:val="32"/>
        </w:rPr>
        <w:t>推动产业随功能走、人口随产业走、公共服务随人走，有针对性地完善人口政策，促进人口规模和分布与当地资源环境承载能力、国土空间开发适宜性相适应，加快形成绿色生产生活方式。将教育、科技、人才一体推进，全方位提升人口教育程度、健康水平、文明素养， 高质量解决好人与自然和谐发展问题。</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7" w:name="_Toc142666142"/>
      <w:r>
        <w:rPr>
          <w:rFonts w:ascii="Times New Roman" w:hAnsi="Times New Roman" w:eastAsia="楷体_GB2312" w:cs="Times New Roman"/>
          <w:sz w:val="32"/>
          <w:szCs w:val="32"/>
        </w:rPr>
        <w:t>（三）主要目标</w:t>
      </w:r>
      <w:bookmarkEnd w:id="7"/>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到2035年，生育支持政策体系基本建立，生育、养育、教育等服务保障体系逐步完善，出生人口性别比趋于正常，人口结构逐步优化，人口素质不断提升，公共服务提质增效，人的权益有效保障，人口与资源、环境和经济社会发展的协调性进一步提升，人口均衡发展取得积极进展。</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人口数量减速放缓。</w:t>
      </w:r>
      <w:r>
        <w:rPr>
          <w:rFonts w:ascii="Times New Roman" w:hAnsi="Times New Roman" w:eastAsia="仿宋_GB2312" w:cs="Times New Roman"/>
          <w:sz w:val="32"/>
          <w:szCs w:val="32"/>
        </w:rPr>
        <w:t>积极稳妥实施全面三孩政策及配套支持措施，确保生育水平总体趋稳，在一定程度上减缓人口老龄化带来的人口总量降幅加快现象。在未来十五年，进一步放缓常住人口与户籍人口规模减少的变动趋势。到2035年，实现全区常住人口37.65万人左右，户籍人口38.42万人左右。</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人口结构逐步优化。</w:t>
      </w:r>
      <w:r>
        <w:rPr>
          <w:rFonts w:ascii="Times New Roman" w:hAnsi="Times New Roman" w:eastAsia="仿宋_GB2312" w:cs="Times New Roman"/>
          <w:sz w:val="32"/>
          <w:szCs w:val="32"/>
        </w:rPr>
        <w:t>出生人口性别比持续优化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力争2035 年降低到107左右。劳动年龄人口占比下降速度有所减缓，人口红利向人才支撑积极转变，劳动力资源供给平稳有序。</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人口素质不断提高。</w:t>
      </w:r>
      <w:r>
        <w:rPr>
          <w:rFonts w:ascii="Times New Roman" w:hAnsi="Times New Roman" w:eastAsia="仿宋_GB2312" w:cs="Times New Roman"/>
          <w:sz w:val="32"/>
          <w:szCs w:val="32"/>
        </w:rPr>
        <w:t>人口健康素质不断提升，2035年人均期望寿命达到81.81岁。教育普及程度进一步提高，创新型人力资源全面提升，劳动年龄人口平均受教育年限接近全省平均水平，公民文明素养和社会文明程度显著提高。</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公共服务持续提升。</w:t>
      </w:r>
      <w:r>
        <w:rPr>
          <w:rFonts w:ascii="Times New Roman" w:hAnsi="Times New Roman" w:eastAsia="仿宋_GB2312" w:cs="Times New Roman"/>
          <w:sz w:val="32"/>
          <w:szCs w:val="32"/>
        </w:rPr>
        <w:t>基本公共服务均等化水平明显提高，普惠性非基本公共服务数量和质量实现双提升，高品质多样化的生活性服务业成为公共服务体系的有益补充。医疗条件持续改善，服务能力和水平持续提高。妇女、未成年人、老年人、残疾人等群体的基本权益得到有效保障，家庭发展能力不断增强。</w:t>
      </w:r>
    </w:p>
    <w:p>
      <w:pPr>
        <w:spacing w:line="580" w:lineRule="exact"/>
        <w:rPr>
          <w:rFonts w:ascii="Times New Roman" w:hAnsi="Times New Roman" w:cs="Times New Roman"/>
        </w:rPr>
      </w:pPr>
    </w:p>
    <w:p>
      <w:pPr>
        <w:pStyle w:val="2"/>
        <w:rPr>
          <w:lang w:eastAsia="zh-CN"/>
        </w:rPr>
      </w:pPr>
    </w:p>
    <w:p/>
    <w:p>
      <w:pPr>
        <w:pStyle w:val="2"/>
        <w:rPr>
          <w:lang w:eastAsia="zh-CN"/>
        </w:rPr>
      </w:pPr>
    </w:p>
    <w:p/>
    <w:p>
      <w:pPr>
        <w:pStyle w:val="2"/>
        <w:rPr>
          <w:lang w:eastAsia="zh-CN"/>
        </w:rPr>
      </w:pPr>
    </w:p>
    <w:p/>
    <w:p>
      <w:pPr>
        <w:pStyle w:val="2"/>
        <w:rPr>
          <w:lang w:eastAsia="zh-CN"/>
        </w:rPr>
      </w:pPr>
    </w:p>
    <w:p>
      <w:pPr>
        <w:adjustRightInd w:val="0"/>
        <w:snapToGrid w:val="0"/>
        <w:spacing w:line="58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表8  汕尾市城区未来十五年人口发展预期目标</w:t>
      </w:r>
    </w:p>
    <w:tbl>
      <w:tblPr>
        <w:tblStyle w:val="50"/>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937"/>
        <w:gridCol w:w="1061"/>
        <w:gridCol w:w="988"/>
        <w:gridCol w:w="108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22"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ascii="Times New Roman" w:hAnsi="Times New Roman" w:cs="Times New Roman"/>
                <w:b/>
                <w:bCs/>
                <w:color w:val="auto"/>
                <w:sz w:val="24"/>
                <w:szCs w:val="24"/>
              </w:rPr>
              <w:t>类别</w:t>
            </w:r>
          </w:p>
        </w:tc>
        <w:tc>
          <w:tcPr>
            <w:tcW w:w="3937"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ascii="Times New Roman" w:hAnsi="Times New Roman" w:cs="Times New Roman"/>
                <w:b/>
                <w:bCs/>
                <w:color w:val="auto"/>
                <w:sz w:val="24"/>
                <w:szCs w:val="24"/>
              </w:rPr>
              <w:t>指标</w:t>
            </w:r>
          </w:p>
        </w:tc>
        <w:tc>
          <w:tcPr>
            <w:tcW w:w="1061"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ascii="Times New Roman" w:hAnsi="Times New Roman" w:cs="Times New Roman"/>
                <w:b/>
                <w:bCs/>
                <w:color w:val="auto"/>
                <w:sz w:val="24"/>
                <w:szCs w:val="24"/>
              </w:rPr>
              <w:t>2020年</w:t>
            </w:r>
          </w:p>
        </w:tc>
        <w:tc>
          <w:tcPr>
            <w:tcW w:w="988"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hint="eastAsia" w:ascii="Times New Roman" w:hAnsi="Times New Roman" w:cs="Times New Roman"/>
                <w:b/>
                <w:bCs/>
                <w:color w:val="auto"/>
                <w:sz w:val="24"/>
                <w:szCs w:val="24"/>
              </w:rPr>
              <w:t>2025年</w:t>
            </w:r>
          </w:p>
        </w:tc>
        <w:tc>
          <w:tcPr>
            <w:tcW w:w="1089"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ascii="Times New Roman" w:hAnsi="Times New Roman" w:cs="Times New Roman"/>
                <w:b/>
                <w:bCs/>
                <w:color w:val="auto"/>
                <w:sz w:val="24"/>
                <w:szCs w:val="24"/>
              </w:rPr>
              <w:t>2035年</w:t>
            </w:r>
          </w:p>
        </w:tc>
        <w:tc>
          <w:tcPr>
            <w:tcW w:w="1016" w:type="dxa"/>
            <w:tcBorders>
              <w:top w:val="single" w:color="auto" w:sz="4" w:space="0"/>
              <w:left w:val="single" w:color="auto" w:sz="4" w:space="0"/>
              <w:bottom w:val="single" w:color="auto" w:sz="4" w:space="0"/>
              <w:right w:val="single" w:color="auto" w:sz="4" w:space="0"/>
              <w:insideV w:val="nil"/>
            </w:tcBorders>
            <w:shd w:val="clear" w:color="auto" w:fill="D0CECE" w:themeFill="background2" w:themeFillShade="E6"/>
            <w:noWrap/>
            <w:vAlign w:val="center"/>
          </w:tcPr>
          <w:p>
            <w:pPr>
              <w:pStyle w:val="27"/>
              <w:adjustRightInd w:val="0"/>
              <w:snapToGrid w:val="0"/>
              <w:spacing w:before="0" w:after="0" w:line="400" w:lineRule="exact"/>
              <w:contextualSpacing w:val="0"/>
              <w:rPr>
                <w:rFonts w:ascii="Times New Roman" w:hAnsi="Times New Roman" w:cs="Times New Roman"/>
                <w:b w:val="0"/>
                <w:bCs w:val="0"/>
                <w:color w:val="FFFFFF" w:themeColor="background1"/>
                <w:sz w:val="24"/>
                <w:szCs w:val="24"/>
              </w:rPr>
            </w:pPr>
            <w:r>
              <w:rPr>
                <w:rFonts w:ascii="Times New Roman" w:hAnsi="Times New Roman" w:cs="Times New Roman"/>
                <w:b/>
                <w:bCs/>
                <w:color w:val="auto"/>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人口数量</w:t>
            </w:r>
          </w:p>
        </w:tc>
        <w:tc>
          <w:tcPr>
            <w:tcW w:w="3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1.户籍人口数（万人）</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38.98</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38.42</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2.户籍人口总和生育率</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0.94</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1.3</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3.常住人口数（万人）</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39.44</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37.65</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tcBorders>
              <w:top w:val="single" w:color="auto" w:sz="4" w:space="0"/>
              <w:left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tcBorders>
              <w:top w:val="single" w:color="auto" w:sz="4" w:space="0"/>
              <w:left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4.常住人口总和生育率</w:t>
            </w:r>
          </w:p>
        </w:tc>
        <w:tc>
          <w:tcPr>
            <w:tcW w:w="1061" w:type="dxa"/>
            <w:tcBorders>
              <w:top w:val="single" w:color="auto" w:sz="4" w:space="0"/>
              <w:left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0.96</w:t>
            </w:r>
          </w:p>
        </w:tc>
        <w:tc>
          <w:tcPr>
            <w:tcW w:w="988" w:type="dxa"/>
            <w:tcBorders>
              <w:top w:val="single" w:color="auto" w:sz="4" w:space="0"/>
              <w:left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1.25</w:t>
            </w:r>
          </w:p>
        </w:tc>
        <w:tc>
          <w:tcPr>
            <w:tcW w:w="1089" w:type="dxa"/>
            <w:tcBorders>
              <w:top w:val="single" w:color="auto" w:sz="4" w:space="0"/>
              <w:left w:val="single" w:color="auto" w:sz="4" w:space="0"/>
              <w:right w:val="single" w:color="auto" w:sz="4" w:space="0"/>
            </w:tcBorders>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1.5</w:t>
            </w:r>
          </w:p>
        </w:tc>
        <w:tc>
          <w:tcPr>
            <w:tcW w:w="1016" w:type="dxa"/>
            <w:tcBorders>
              <w:top w:val="single" w:color="auto" w:sz="4" w:space="0"/>
              <w:left w:val="single" w:color="auto" w:sz="4" w:space="0"/>
              <w:right w:val="single" w:color="auto" w:sz="4" w:space="0"/>
            </w:tcBorders>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人口结构</w:t>
            </w: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5.性别比</w:t>
            </w:r>
          </w:p>
        </w:tc>
        <w:tc>
          <w:tcPr>
            <w:tcW w:w="1061"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108.25</w:t>
            </w:r>
          </w:p>
        </w:tc>
        <w:tc>
          <w:tcPr>
            <w:tcW w:w="988"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hint="eastAsia" w:ascii="Times New Roman" w:hAnsi="Times New Roman" w:cs="Times New Roman"/>
                <w:sz w:val="24"/>
                <w:szCs w:val="24"/>
              </w:rPr>
              <w:t>108</w:t>
            </w:r>
          </w:p>
        </w:tc>
        <w:tc>
          <w:tcPr>
            <w:tcW w:w="1089"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103-107</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restart"/>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家庭结构</w:t>
            </w: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6.户籍人口总户数（万户）</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11.03</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11.02</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11</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7.户籍人口家庭人口（人）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3.22</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3.3</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人口分布</w:t>
            </w: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8.常住人口城镇化率（%）</w:t>
            </w:r>
          </w:p>
        </w:tc>
        <w:tc>
          <w:tcPr>
            <w:tcW w:w="1061"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81.68</w:t>
            </w:r>
          </w:p>
        </w:tc>
        <w:tc>
          <w:tcPr>
            <w:tcW w:w="988"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82.5</w:t>
            </w:r>
          </w:p>
        </w:tc>
        <w:tc>
          <w:tcPr>
            <w:tcW w:w="1089"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﹥85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restart"/>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人口素质</w:t>
            </w: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9.人均预期寿命（岁）</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81.81</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﹥82</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﹥83</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10.婴儿死亡率（‰）</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4.2</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&lt;3</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hint="eastAsia" w:ascii="Times New Roman" w:hAnsi="Times New Roman" w:eastAsia="仿宋_GB2312" w:cs="Times New Roman"/>
                <w:color w:val="000000"/>
                <w:sz w:val="24"/>
                <w:szCs w:val="24"/>
              </w:rPr>
              <w:t>&lt;</w:t>
            </w:r>
            <w:r>
              <w:rPr>
                <w:rFonts w:ascii="Times New Roman" w:hAnsi="Times New Roman" w:eastAsia="宋体" w:cs="Times New Roman"/>
                <w:kern w:val="0"/>
                <w:sz w:val="24"/>
                <w:szCs w:val="24"/>
              </w:rPr>
              <w:t>2.5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11.孕产妇死亡率（每10万人）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&lt;8</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12.5岁以下儿童死亡率（‰）</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3.74</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3.5</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13.重大慢性病过早死亡率（%）</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hint="eastAsia" w:ascii="Times New Roman" w:hAnsi="Times New Roman" w:eastAsia="仿宋_GB2312" w:cs="Times New Roman"/>
                <w:sz w:val="24"/>
                <w:szCs w:val="24"/>
              </w:rPr>
              <w:t>18.17</w:t>
            </w:r>
          </w:p>
        </w:tc>
        <w:tc>
          <w:tcPr>
            <w:tcW w:w="988" w:type="dxa"/>
            <w:shd w:val="clear" w:color="auto" w:fill="auto"/>
            <w:noWrap/>
            <w:vAlign w:val="center"/>
          </w:tcPr>
          <w:p>
            <w:pPr>
              <w:widowControl/>
              <w:snapToGrid w:val="0"/>
              <w:spacing w:line="400" w:lineRule="exact"/>
              <w:jc w:val="center"/>
              <w:textAlignment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sz w:val="24"/>
                <w:szCs w:val="24"/>
              </w:rPr>
              <w:t>&lt;1</w:t>
            </w:r>
            <w:r>
              <w:rPr>
                <w:rFonts w:hint="eastAsia" w:ascii="Times New Roman" w:hAnsi="Times New Roman" w:eastAsia="仿宋_GB2312" w:cs="Times New Roman"/>
                <w:sz w:val="24"/>
                <w:szCs w:val="24"/>
                <w:lang w:val="en-US" w:eastAsia="zh-CN"/>
              </w:rPr>
              <w:t>5</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&lt;10</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pacing w:val="-14"/>
                <w:sz w:val="24"/>
                <w:szCs w:val="24"/>
              </w:rPr>
            </w:pPr>
            <w:r>
              <w:rPr>
                <w:rFonts w:ascii="Times New Roman" w:hAnsi="Times New Roman" w:cs="Times New Roman"/>
                <w:spacing w:val="-14"/>
                <w:sz w:val="24"/>
                <w:szCs w:val="24"/>
              </w:rPr>
              <w:t>14.劳动年龄人口平均受教育年限（年）</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9.4</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12</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restart"/>
            <w:shd w:val="clear" w:color="auto" w:fill="auto"/>
            <w:noWrap/>
            <w:vAlign w:val="center"/>
          </w:tcPr>
          <w:p>
            <w:pPr>
              <w:pStyle w:val="27"/>
              <w:adjustRightInd w:val="0"/>
              <w:snapToGrid w:val="0"/>
              <w:spacing w:line="400" w:lineRule="exact"/>
              <w:contextualSpacing w:val="0"/>
              <w:rPr>
                <w:rFonts w:ascii="Times New Roman" w:hAnsi="Times New Roman" w:cs="Times New Roman"/>
                <w:b/>
                <w:bCs/>
                <w:sz w:val="24"/>
                <w:szCs w:val="24"/>
              </w:rPr>
            </w:pPr>
            <w:r>
              <w:rPr>
                <w:rFonts w:ascii="Times New Roman" w:hAnsi="Times New Roman" w:cs="Times New Roman"/>
                <w:b/>
                <w:bCs/>
                <w:sz w:val="24"/>
                <w:szCs w:val="24"/>
              </w:rPr>
              <w:t>公共服务</w:t>
            </w:r>
          </w:p>
          <w:p>
            <w:pPr>
              <w:pStyle w:val="27"/>
              <w:adjustRightInd w:val="0"/>
              <w:snapToGrid w:val="0"/>
              <w:spacing w:line="400" w:lineRule="exact"/>
              <w:contextualSpacing w:val="0"/>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15.每千人口拥有医疗机构床位数（张）</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2.56</w:t>
            </w:r>
          </w:p>
        </w:tc>
        <w:tc>
          <w:tcPr>
            <w:tcW w:w="988" w:type="dxa"/>
            <w:shd w:val="clear" w:color="auto" w:fill="auto"/>
            <w:noWrap/>
            <w:vAlign w:val="center"/>
          </w:tcPr>
          <w:p>
            <w:pPr>
              <w:widowControl/>
              <w:snapToGrid w:val="0"/>
              <w:spacing w:line="400" w:lineRule="exact"/>
              <w:jc w:val="center"/>
              <w:textAlignment w:val="center"/>
              <w:rPr>
                <w:rFonts w:hint="eastAsia" w:ascii="Times New Roman" w:hAnsi="Times New Roman" w:eastAsia="宋体" w:cs="Times New Roman"/>
                <w:kern w:val="0"/>
                <w:sz w:val="24"/>
                <w:szCs w:val="24"/>
                <w:lang w:eastAsia="zh-CN"/>
              </w:rPr>
            </w:pPr>
            <w:r>
              <w:rPr>
                <w:rFonts w:hint="eastAsia" w:ascii="Times New Roman" w:hAnsi="Times New Roman" w:eastAsia="仿宋_GB2312" w:cs="Times New Roman"/>
                <w:sz w:val="24"/>
                <w:szCs w:val="24"/>
                <w:lang w:val="en-US" w:eastAsia="zh-CN"/>
              </w:rPr>
              <w:t>5</w:t>
            </w:r>
          </w:p>
        </w:tc>
        <w:tc>
          <w:tcPr>
            <w:tcW w:w="1089" w:type="dxa"/>
            <w:shd w:val="clear" w:color="auto" w:fill="auto"/>
            <w:noWrap/>
            <w:vAlign w:val="center"/>
          </w:tcPr>
          <w:p>
            <w:pPr>
              <w:widowControl/>
              <w:snapToGrid w:val="0"/>
              <w:spacing w:line="400" w:lineRule="exact"/>
              <w:jc w:val="center"/>
              <w:textAlignment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kern w:val="0"/>
                <w:sz w:val="24"/>
                <w:szCs w:val="24"/>
                <w:lang w:val="en-US" w:eastAsia="zh-CN"/>
              </w:rPr>
              <w:t>7</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16.每千人口拥有执业（助理）医师数（人）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1.74</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sz w:val="24"/>
                <w:szCs w:val="24"/>
              </w:rPr>
              <w:t>2.8</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pacing w:val="-16"/>
                <w:sz w:val="24"/>
                <w:szCs w:val="24"/>
              </w:rPr>
            </w:pPr>
            <w:r>
              <w:rPr>
                <w:rFonts w:ascii="Times New Roman" w:hAnsi="Times New Roman" w:cs="Times New Roman"/>
                <w:spacing w:val="-16"/>
                <w:sz w:val="24"/>
                <w:szCs w:val="24"/>
              </w:rPr>
              <w:t>17.每千人口拥有中医类别执业（助理）医师数（人）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0.02</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0.62</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2</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18.每千人口拥有注册护士数（人）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3.07</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4.88</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6.5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19.每千人口拥有药师（士）数（人）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0.19</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0.54</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0.8</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20.每万人口拥有全科医师数（人）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1.61</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6</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pacing w:val="-14"/>
                <w:sz w:val="24"/>
                <w:szCs w:val="24"/>
              </w:rPr>
            </w:pPr>
            <w:r>
              <w:rPr>
                <w:rFonts w:ascii="Times New Roman" w:hAnsi="Times New Roman" w:cs="Times New Roman"/>
                <w:spacing w:val="-14"/>
                <w:sz w:val="24"/>
                <w:szCs w:val="24"/>
              </w:rPr>
              <w:t>21.每千人口拥有公共卫生人员数（人）</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0.16</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0.5</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22.每千人口拥有3岁以下婴幼儿托位数（个）</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1</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4.2</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8</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23.全区儿童青少年总体近视率（%）</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54</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每年降低0</w:t>
            </w:r>
            <w:r>
              <w:rPr>
                <w:rStyle w:val="45"/>
                <w:rFonts w:eastAsia="宋体"/>
                <w:color w:val="auto"/>
              </w:rPr>
              <w:t>.5%</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每年降低0</w:t>
            </w:r>
            <w:r>
              <w:rPr>
                <w:rStyle w:val="45"/>
                <w:rFonts w:eastAsia="宋体"/>
                <w:color w:val="auto"/>
              </w:rPr>
              <w:t>.5%</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2" w:type="dxa"/>
            <w:vMerge w:val="continue"/>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b/>
                <w:bCs/>
                <w:sz w:val="24"/>
                <w:szCs w:val="24"/>
              </w:rPr>
            </w:pPr>
          </w:p>
        </w:tc>
        <w:tc>
          <w:tcPr>
            <w:tcW w:w="3937" w:type="dxa"/>
            <w:shd w:val="clear" w:color="auto" w:fill="auto"/>
            <w:noWrap/>
            <w:vAlign w:val="center"/>
          </w:tcPr>
          <w:p>
            <w:pPr>
              <w:pStyle w:val="27"/>
              <w:adjustRightInd w:val="0"/>
              <w:snapToGrid w:val="0"/>
              <w:spacing w:line="400" w:lineRule="exact"/>
              <w:contextualSpacing w:val="0"/>
              <w:jc w:val="both"/>
              <w:rPr>
                <w:rFonts w:ascii="Times New Roman" w:hAnsi="Times New Roman" w:cs="Times New Roman"/>
                <w:sz w:val="24"/>
                <w:szCs w:val="24"/>
              </w:rPr>
            </w:pPr>
            <w:r>
              <w:rPr>
                <w:rFonts w:ascii="Times New Roman" w:hAnsi="Times New Roman" w:cs="Times New Roman"/>
                <w:sz w:val="24"/>
                <w:szCs w:val="24"/>
              </w:rPr>
              <w:t>24.二级及以上综合医院设置老年医学科的比例（%）</w:t>
            </w:r>
          </w:p>
        </w:tc>
        <w:tc>
          <w:tcPr>
            <w:tcW w:w="1061"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ascii="Times New Roman" w:hAnsi="Times New Roman" w:eastAsia="宋体" w:cs="Times New Roman"/>
                <w:kern w:val="0"/>
                <w:sz w:val="24"/>
                <w:szCs w:val="24"/>
              </w:rPr>
              <w:t>0</w:t>
            </w:r>
          </w:p>
        </w:tc>
        <w:tc>
          <w:tcPr>
            <w:tcW w:w="988"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kern w:val="0"/>
                <w:sz w:val="24"/>
                <w:szCs w:val="24"/>
              </w:rPr>
            </w:pPr>
            <w:r>
              <w:rPr>
                <w:rFonts w:hint="eastAsia" w:ascii="Times New Roman" w:hAnsi="Times New Roman" w:eastAsia="仿宋_GB2312" w:cs="Times New Roman"/>
                <w:color w:val="000000"/>
                <w:sz w:val="24"/>
                <w:szCs w:val="24"/>
              </w:rPr>
              <w:t>≥60</w:t>
            </w:r>
          </w:p>
        </w:tc>
        <w:tc>
          <w:tcPr>
            <w:tcW w:w="1089" w:type="dxa"/>
            <w:shd w:val="clear" w:color="auto" w:fill="auto"/>
            <w:noWrap/>
            <w:vAlign w:val="center"/>
          </w:tcPr>
          <w:p>
            <w:pPr>
              <w:widowControl/>
              <w:snapToGrid w:val="0"/>
              <w:spacing w:line="400" w:lineRule="exact"/>
              <w:jc w:val="center"/>
              <w:textAlignment w:val="center"/>
              <w:rPr>
                <w:rFonts w:ascii="Times New Roman" w:hAnsi="Times New Roman" w:eastAsia="宋体" w:cs="Times New Roman"/>
                <w:sz w:val="24"/>
                <w:szCs w:val="24"/>
              </w:rPr>
            </w:pPr>
            <w:r>
              <w:rPr>
                <w:rFonts w:hint="eastAsia" w:ascii="Times New Roman" w:hAnsi="Times New Roman" w:eastAsia="仿宋_GB2312" w:cs="Times New Roman"/>
                <w:color w:val="000000"/>
                <w:sz w:val="24"/>
                <w:szCs w:val="24"/>
              </w:rPr>
              <w:t>≥</w:t>
            </w:r>
            <w:r>
              <w:rPr>
                <w:rFonts w:ascii="Times New Roman" w:hAnsi="Times New Roman" w:eastAsia="宋体" w:cs="Times New Roman"/>
                <w:kern w:val="0"/>
                <w:sz w:val="24"/>
                <w:szCs w:val="24"/>
              </w:rPr>
              <w:t>80</w:t>
            </w:r>
          </w:p>
        </w:tc>
        <w:tc>
          <w:tcPr>
            <w:tcW w:w="1016" w:type="dxa"/>
            <w:shd w:val="clear" w:color="auto" w:fill="auto"/>
            <w:noWrap/>
            <w:vAlign w:val="center"/>
          </w:tcPr>
          <w:p>
            <w:pPr>
              <w:pStyle w:val="27"/>
              <w:adjustRightInd w:val="0"/>
              <w:snapToGrid w:val="0"/>
              <w:spacing w:line="400" w:lineRule="exact"/>
              <w:contextualSpacing w:val="0"/>
              <w:rPr>
                <w:rFonts w:ascii="Times New Roman" w:hAnsi="Times New Roman" w:cs="Times New Roman"/>
                <w:sz w:val="24"/>
                <w:szCs w:val="24"/>
              </w:rPr>
            </w:pPr>
            <w:r>
              <w:rPr>
                <w:rFonts w:ascii="Times New Roman" w:hAnsi="Times New Roman" w:cs="Times New Roman"/>
                <w:sz w:val="24"/>
                <w:szCs w:val="24"/>
              </w:rPr>
              <w:t>约束性</w:t>
            </w:r>
          </w:p>
        </w:tc>
      </w:tr>
    </w:tbl>
    <w:p>
      <w:pPr>
        <w:adjustRightInd w:val="0"/>
        <w:snapToGrid w:val="0"/>
        <w:spacing w:line="580" w:lineRule="exact"/>
        <w:ind w:firstLine="640" w:firstLineChars="200"/>
        <w:outlineLvl w:val="0"/>
        <w:rPr>
          <w:rFonts w:ascii="Times New Roman" w:hAnsi="Times New Roman" w:eastAsia="黑体" w:cs="Times New Roman"/>
          <w:sz w:val="32"/>
          <w:szCs w:val="32"/>
        </w:rPr>
      </w:pPr>
      <w:bookmarkStart w:id="8" w:name="_Toc142666143"/>
      <w:r>
        <w:rPr>
          <w:rFonts w:ascii="Times New Roman" w:hAnsi="Times New Roman" w:eastAsia="黑体" w:cs="Times New Roman"/>
          <w:sz w:val="32"/>
          <w:szCs w:val="32"/>
        </w:rPr>
        <w:t>三、重点任务</w:t>
      </w:r>
      <w:bookmarkEnd w:id="8"/>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9" w:name="_Toc142666144"/>
      <w:r>
        <w:rPr>
          <w:rFonts w:ascii="Times New Roman" w:hAnsi="Times New Roman" w:eastAsia="楷体_GB2312" w:cs="Times New Roman"/>
          <w:sz w:val="32"/>
          <w:szCs w:val="32"/>
        </w:rPr>
        <w:t>（一）完善政策服务，企稳人口规模势能</w:t>
      </w:r>
      <w:bookmarkEnd w:id="9"/>
    </w:p>
    <w:p>
      <w:pPr>
        <w:pStyle w:val="14"/>
        <w:adjustRightInd w:val="0"/>
        <w:snapToGrid w:val="0"/>
        <w:spacing w:line="580" w:lineRule="exact"/>
        <w:ind w:left="0" w:leftChars="0" w:firstLine="0" w:firstLineChars="0"/>
        <w:rPr>
          <w:rFonts w:ascii="Times New Roman" w:hAnsi="Times New Roman" w:eastAsia="仿宋_GB2312" w:cs="Times New Roman"/>
        </w:rPr>
      </w:pPr>
      <w:r>
        <w:rPr>
          <w:rFonts w:ascii="Times New Roman" w:hAnsi="Times New Roman" w:eastAsia="仿宋_GB2312" w:cs="Times New Roman"/>
        </w:rPr>
        <w:t xml:space="preserve">    聚焦城区经济、资源、环境与社会人口长期均衡发展，建立生育政策改革和社会公共政策改革联动机制，为家庭生育提供支持。优化生育政策和社会服务，为促进人口回流、增强生育信心、稳定人口规模、打造人口集聚势能，实现人口与区域经济良性互动奠定基础。</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0" w:name="_Toc142666145"/>
      <w:r>
        <w:rPr>
          <w:rFonts w:ascii="Times New Roman" w:hAnsi="Times New Roman" w:eastAsia="仿宋_GB2312" w:cs="Times New Roman"/>
          <w:b/>
          <w:sz w:val="32"/>
          <w:szCs w:val="32"/>
        </w:rPr>
        <w:t>1.完善生育配套政策支持</w:t>
      </w:r>
      <w:bookmarkEnd w:id="10"/>
      <w:r>
        <w:rPr>
          <w:rFonts w:ascii="Times New Roman" w:hAnsi="Times New Roman" w:eastAsia="仿宋_GB2312" w:cs="Times New Roman"/>
          <w:b/>
          <w:bCs/>
          <w:sz w:val="32"/>
          <w:szCs w:val="32"/>
        </w:rPr>
        <w:t xml:space="preserve"> </w:t>
      </w:r>
    </w:p>
    <w:p>
      <w:pPr>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坚持计划生育基本国策，贯彻落实《广东省人口与计划生育条例》，维护职工休息休假权利，促进人口长期均衡发展和社会进步。推进生育保险和基本医疗保险合并实施，确保职工生育期间的生育保险待遇不变。全面落实产假、陪产假、育儿假政策，探索并试点实施夫妻共享带薪育儿假，不断完善符合生育政策的奖励假制度。</w:t>
      </w:r>
      <w:r>
        <w:rPr>
          <w:rFonts w:ascii="Times New Roman" w:hAnsi="Times New Roman" w:eastAsia="仿宋_GB2312" w:cs="Times New Roman"/>
          <w:color w:val="000000"/>
          <w:sz w:val="32"/>
          <w:szCs w:val="32"/>
        </w:rPr>
        <w:t>将参保女职工生育三孩的费用纳入生育保险待遇支付范围，按规定及时、足额给付生育医疗费用和生育津贴待遇。</w:t>
      </w:r>
      <w:r>
        <w:rPr>
          <w:rFonts w:ascii="Times New Roman" w:hAnsi="Times New Roman" w:eastAsia="仿宋_GB2312" w:cs="Times New Roman"/>
          <w:kern w:val="0"/>
          <w:sz w:val="32"/>
          <w:szCs w:val="32"/>
        </w:rPr>
        <w:t>建立健全生育支持政策和标准规范体系，加快制定有利于婚育的教育、就业、税收、住房、社会保障等支持政策，推动各项生育支持政策与相关的经济社会政策配套衔接。统筹推进生育政策、服务管理制度、家庭发展支持体系和治理机制综合改革，构建生育友好政策支持体系和生育成本合理分担机制，为减轻生养子女家庭负担提供政策支持。坚持和完善基本医疗保险制度，不断提高参保人员生育保障水平。及时、足额支付参保职工生育医疗费用和生育津贴，做好城乡居民生育医疗费用待遇保障和新生儿参保工作，切实保障参保人员生育权益。</w:t>
      </w:r>
    </w:p>
    <w:p>
      <w:pPr>
        <w:pStyle w:val="2"/>
        <w:rPr>
          <w:rFonts w:ascii="Times New Roman" w:hAnsi="Times New Roman" w:cs="Times New Roman"/>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tcPr>
          <w:p>
            <w:pPr>
              <w:jc w:val="center"/>
              <w:rPr>
                <w:rFonts w:ascii="Times New Roman" w:hAnsi="Times New Roman" w:eastAsia="楷体_GB2312" w:cs="Times New Roman"/>
                <w:sz w:val="32"/>
                <w:szCs w:val="32"/>
              </w:rPr>
            </w:pPr>
            <w:r>
              <w:rPr>
                <w:rFonts w:ascii="Times New Roman" w:hAnsi="Times New Roman" w:eastAsia="楷体_GB2312" w:cs="Times New Roman"/>
                <w:b/>
                <w:bCs/>
                <w:color w:val="000000"/>
                <w:sz w:val="32"/>
                <w:szCs w:val="32"/>
              </w:rPr>
              <w:t xml:space="preserve">专栏1-1 </w:t>
            </w:r>
            <w:r>
              <w:rPr>
                <w:rFonts w:ascii="Times New Roman" w:hAnsi="Times New Roman" w:eastAsia="楷体_GB2312" w:cs="Times New Roman"/>
                <w:b/>
                <w:bCs/>
                <w:sz w:val="32"/>
                <w:szCs w:val="32"/>
              </w:rPr>
              <w:t xml:space="preserve"> 实施省计划生育奖励扶助制度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广东省户籍的计划生育特殊家庭成员，在男性年满60周岁、女性年满55周岁后，除特别扶助金外，将叠加享受农村部分计划生育家庭奖励或城镇独生子女服务计划生育奖励。</w:t>
            </w:r>
          </w:p>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城镇户籍</w:t>
            </w:r>
            <w:r>
              <w:rPr>
                <w:rFonts w:ascii="Times New Roman" w:hAnsi="Times New Roman" w:eastAsia="仿宋_GB2312" w:cs="Times New Roman"/>
                <w:color w:val="000000"/>
                <w:sz w:val="28"/>
                <w:szCs w:val="28"/>
              </w:rPr>
              <w:t>独生子女父母，男方满60周岁、女方满55周岁，按每人每月不低于80元的标准发放奖励金，并按规定实行奖励标准动态调整机制。</w:t>
            </w:r>
          </w:p>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农业户口</w:t>
            </w:r>
            <w:r>
              <w:rPr>
                <w:rFonts w:ascii="Times New Roman" w:hAnsi="Times New Roman" w:eastAsia="仿宋_GB2312" w:cs="Times New Roman"/>
                <w:color w:val="000000"/>
                <w:sz w:val="28"/>
                <w:szCs w:val="28"/>
              </w:rPr>
              <w:t>中男方年满60周岁、女方年满55周岁，只生育（含收养、抱养，下同）一个子女的农村居民，或者纯生二女的农村居民，或者婚后没有生育的农村居民，按每人每月不低于120元的标准发放奖励金，直至本人死亡为止，并按规定实行奖励标准动态调整机制。</w:t>
            </w:r>
          </w:p>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计划生育特殊家庭</w:t>
            </w:r>
            <w:r>
              <w:rPr>
                <w:rFonts w:ascii="Times New Roman" w:hAnsi="Times New Roman" w:eastAsia="仿宋_GB2312" w:cs="Times New Roman"/>
                <w:color w:val="000000"/>
                <w:sz w:val="28"/>
                <w:szCs w:val="28"/>
              </w:rPr>
              <w:t>，女</w:t>
            </w:r>
            <w:r>
              <w:rPr>
                <w:rFonts w:hint="eastAsia" w:ascii="Times New Roman" w:hAnsi="Times New Roman" w:eastAsia="仿宋_GB2312" w:cs="Times New Roman"/>
                <w:color w:val="000000"/>
                <w:sz w:val="28"/>
                <w:szCs w:val="28"/>
              </w:rPr>
              <w:t>方</w:t>
            </w:r>
            <w:r>
              <w:rPr>
                <w:rFonts w:ascii="Times New Roman" w:hAnsi="Times New Roman" w:eastAsia="仿宋_GB2312" w:cs="Times New Roman"/>
                <w:color w:val="000000"/>
                <w:sz w:val="28"/>
                <w:szCs w:val="28"/>
              </w:rPr>
              <w:t>年满49周岁的，纳入计划生育家庭特别辅助制度，独身子女伤残家庭每人每月领取不低于500元的扶助金；独生子女死亡家庭每人每月领取不低于800元的扶助金。</w:t>
            </w:r>
          </w:p>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城镇户籍居民离婚（再婚）家庭，</w:t>
            </w:r>
            <w:r>
              <w:rPr>
                <w:rFonts w:ascii="Times New Roman" w:hAnsi="Times New Roman" w:eastAsia="仿宋_GB2312" w:cs="Times New Roman"/>
                <w:b w:val="0"/>
                <w:bCs/>
                <w:color w:val="000000"/>
                <w:sz w:val="28"/>
                <w:szCs w:val="28"/>
              </w:rPr>
              <w:t>将</w:t>
            </w:r>
            <w:r>
              <w:rPr>
                <w:rFonts w:ascii="Times New Roman" w:hAnsi="Times New Roman" w:eastAsia="仿宋_GB2312" w:cs="Times New Roman"/>
                <w:color w:val="000000"/>
                <w:sz w:val="28"/>
                <w:szCs w:val="28"/>
              </w:rPr>
              <w:t>符合终生只生育一个子女条件的一方纳入城镇独生子女父母计划生育奖励范围。</w:t>
            </w:r>
          </w:p>
          <w:p>
            <w:pPr>
              <w:snapToGrid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落实“放管服”工作要求</w:t>
            </w:r>
            <w:r>
              <w:rPr>
                <w:rFonts w:ascii="Times New Roman" w:hAnsi="Times New Roman" w:eastAsia="仿宋_GB2312" w:cs="Times New Roman"/>
                <w:color w:val="000000"/>
                <w:sz w:val="28"/>
                <w:szCs w:val="28"/>
              </w:rPr>
              <w:t>，进一步简化办事程序，优化办事流程。新纳入农村奖励或城镇奖励的特殊家庭成员，原则上不需要重新填写奖励申请表，由乡镇（街道）卫生健康部门对相关名单进行审核确认后，及时落实奖励政策。</w:t>
            </w:r>
          </w:p>
          <w:p>
            <w:pPr>
              <w:pStyle w:val="2"/>
              <w:rPr>
                <w:rFonts w:ascii="Times New Roman" w:hAnsi="Times New Roman" w:cs="Times New Roman"/>
                <w:lang w:eastAsia="zh-CN"/>
              </w:rPr>
            </w:pPr>
            <w:r>
              <w:rPr>
                <w:rFonts w:ascii="Times New Roman" w:hAnsi="Times New Roman" w:cs="Times New Roman"/>
                <w:lang w:eastAsia="zh-CN"/>
              </w:rPr>
              <w:t xml:space="preserve">   </w:t>
            </w:r>
          </w:p>
        </w:tc>
      </w:tr>
    </w:tbl>
    <w:p>
      <w:pPr>
        <w:pStyle w:val="2"/>
        <w:jc w:val="center"/>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1" w:name="_Toc142666146"/>
      <w:r>
        <w:rPr>
          <w:rFonts w:ascii="Times New Roman" w:hAnsi="Times New Roman" w:eastAsia="仿宋_GB2312" w:cs="Times New Roman"/>
          <w:b/>
          <w:sz w:val="32"/>
          <w:szCs w:val="32"/>
        </w:rPr>
        <w:t>2.优化生育全程服务管理</w:t>
      </w:r>
      <w:bookmarkEnd w:id="11"/>
    </w:p>
    <w:p>
      <w:pPr>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实行全口径生育登记服务制度，优化服务流程，在登记流程、办理材料和时限等方面简化办理程序，进一步简政便民。推广婚前医学检查和生育指导“一站式”服务模式，推动免费婚检和孕前优生健康检查城乡居民全覆盖。整合孕前保健、孕期保健、住院分娩、儿童保健、儿童预防接种和计划生育服务内容，为妇女儿童提供优生优育全程服务。加大宣传倡导力度，普及生殖健康、优生优育科学知识，加强针对青少年及未婚人群、流动育龄人群的性与生殖健康教育和咨询指导。推进出生医学证明、儿童预防接种、户口登记、医保参保、社保卡申领等“出生一件事”联办。推进高频事项“全市通办”、“省内通办”、“跨省通办”，落实“好差评”制度。开展家庭医生签约服务、预约业务，提供个性化、精准化、多样化服务。深化推进城乡户籍“一元化”管理制度，围绕汕尾市“六个通办”政务服务总体目标，推进城区指尖办、就近办、一窗办等便民措施，提升生育政务服务能力。</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2" w:name="_Toc142666147"/>
      <w:r>
        <w:rPr>
          <w:rFonts w:ascii="Times New Roman" w:hAnsi="Times New Roman" w:eastAsia="仿宋_GB2312" w:cs="Times New Roman"/>
          <w:b/>
          <w:sz w:val="32"/>
          <w:szCs w:val="32"/>
        </w:rPr>
        <w:t>3.营造生育友好社会氛围</w:t>
      </w:r>
      <w:bookmarkEnd w:id="12"/>
    </w:p>
    <w:p>
      <w:pPr>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充分考虑当地生育文化、家庭习俗等基本社会元素</w:t>
      </w:r>
      <w:r>
        <w:rPr>
          <w:rFonts w:ascii="Times New Roman" w:hAnsi="Times New Roman" w:eastAsia="仿宋_GB2312" w:cs="Times New Roman"/>
          <w:kern w:val="0"/>
          <w:sz w:val="32"/>
          <w:szCs w:val="32"/>
        </w:rPr>
        <w:t>，尊重和正确引导群众的生育意愿，满足全社会多元化的生育需求。倡导适龄生育、优生优育、夫妻共担生育的理念，构建新型婚育文化。大力弘扬中华民族传统美德，尊重婚育的社会价值，破除高价彩礼、无序婚闹等陈规陋习，强调婚育的文明自主、情感基础和个性实现。积极构建生育友好的就业环境，鼓励用人单位为职工平衡工作和家庭创造条件，推行弹性工时和居家工作等家庭照顾福利，营造家庭友好的工作环境。推动对生育家庭的社会关怀，为家庭成员免费提供保健康养、健康育儿、养老护理等培训和服务。建立健全托育服务体系，减轻家庭生育、养育、教育负担，鼓励和引导社会力量兴办托育机构。强化公共服务的资源支持，合理规划配置儿童照料、学前和中小学教育、社会保障等资源，满足新增公共服务需求。在大型公共场所、公共交通工具、旅游景区景点等设置母婴室或婴儿护理台，保障母婴权益。协调国家生育政策和群众意愿，促进家庭幸福与社会和谐，</w:t>
      </w:r>
      <w:r>
        <w:rPr>
          <w:rFonts w:hint="eastAsia" w:ascii="Times New Roman" w:hAnsi="Times New Roman" w:eastAsia="仿宋_GB2312" w:cs="Times New Roman"/>
          <w:kern w:val="0"/>
          <w:sz w:val="32"/>
          <w:szCs w:val="32"/>
          <w:lang w:eastAsia="zh-CN"/>
        </w:rPr>
        <w:t>营</w:t>
      </w:r>
      <w:r>
        <w:rPr>
          <w:rFonts w:ascii="Times New Roman" w:hAnsi="Times New Roman" w:eastAsia="仿宋_GB2312" w:cs="Times New Roman"/>
          <w:kern w:val="0"/>
          <w:sz w:val="32"/>
          <w:szCs w:val="32"/>
        </w:rPr>
        <w:t>造生育友好型的社会氛围。</w:t>
      </w:r>
    </w:p>
    <w:p>
      <w:pPr>
        <w:pStyle w:val="2"/>
        <w:rPr>
          <w:rFonts w:ascii="Times New Roman" w:hAnsi="Times New Roman" w:cs="Times New Roman"/>
          <w:lang w:eastAsia="zh-CN"/>
        </w:rPr>
      </w:pPr>
    </w:p>
    <w:p>
      <w:pPr>
        <w:pStyle w:val="2"/>
        <w:rPr>
          <w:rFonts w:ascii="Times New Roman" w:hAnsi="Times New Roman" w:cs="Times New Roman"/>
          <w:lang w:eastAsia="zh-CN"/>
        </w:rPr>
      </w:pP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jc w:val="center"/>
              <w:rPr>
                <w:rFonts w:ascii="Times New Roman" w:hAnsi="Times New Roman" w:eastAsia="楷体_GB2312" w:cs="Times New Roman"/>
                <w:b/>
                <w:bCs/>
                <w:color w:val="000000"/>
                <w:sz w:val="32"/>
                <w:szCs w:val="32"/>
              </w:rPr>
            </w:pPr>
            <w:bookmarkStart w:id="13" w:name="_Hlk75118408"/>
            <w:r>
              <w:rPr>
                <w:rFonts w:ascii="Times New Roman" w:hAnsi="Times New Roman" w:eastAsia="楷体_GB2312" w:cs="Times New Roman"/>
                <w:b/>
                <w:bCs/>
                <w:color w:val="000000"/>
                <w:sz w:val="32"/>
                <w:szCs w:val="32"/>
              </w:rPr>
              <w:t>专栏1-2  实施与三孩对接的生育友好型政策</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9105" w:type="dxa"/>
            <w:tcBorders>
              <w:top w:val="single" w:color="auto" w:sz="4" w:space="0"/>
            </w:tcBorders>
          </w:tcPr>
          <w:p>
            <w:pPr>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提高服务效率。</w:t>
            </w:r>
            <w:r>
              <w:rPr>
                <w:rFonts w:ascii="Times New Roman" w:hAnsi="Times New Roman" w:eastAsia="仿宋_GB2312" w:cs="Times New Roman"/>
                <w:color w:val="000000"/>
                <w:sz w:val="28"/>
                <w:szCs w:val="28"/>
              </w:rPr>
              <w:t>积极组织三孩生育登记业务办理模块，卫生健康、公安、医保、人力资源和社会保障、数据资源等有关部门在各自的职责范围内，共同推进出生医学证明、儿童预防接种、户口登记、医保参保、社保卡申领等“出生一件事”联办。</w:t>
            </w:r>
          </w:p>
          <w:p>
            <w:pPr>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享受生育假期。</w:t>
            </w:r>
            <w:r>
              <w:rPr>
                <w:rFonts w:ascii="Times New Roman" w:hAnsi="Times New Roman" w:eastAsia="仿宋_GB2312" w:cs="Times New Roman"/>
                <w:color w:val="000000"/>
                <w:sz w:val="28"/>
                <w:szCs w:val="28"/>
              </w:rPr>
              <w:t>实施产假加奖励假</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陪产假</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的生育休假制度，除了产假外，符合法律、法规规定生育子女的夫妻，女方享受80日奖励假，男方享受15日陪产假。新增育儿假，规定在子女3周岁以内，父母每年各享受10日育儿加假。</w:t>
            </w:r>
          </w:p>
          <w:p>
            <w:pPr>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完善护理假期。</w:t>
            </w:r>
            <w:r>
              <w:rPr>
                <w:rFonts w:ascii="Times New Roman" w:hAnsi="Times New Roman" w:eastAsia="仿宋_GB2312" w:cs="Times New Roman"/>
                <w:color w:val="000000"/>
                <w:sz w:val="28"/>
                <w:szCs w:val="28"/>
              </w:rPr>
              <w:t>给予独生子女假期优惠。父母年满六十周岁，用人单位应当给予其子女每年5日的护理假；患病住院治疗的，给予其子女每年累计不超过15日的护理假。</w:t>
            </w:r>
          </w:p>
          <w:p>
            <w:pPr>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落实生育补贴。</w:t>
            </w:r>
            <w:r>
              <w:rPr>
                <w:rFonts w:hint="eastAsia" w:ascii="Times New Roman" w:hAnsi="Times New Roman" w:eastAsia="仿宋_GB2312" w:cs="Times New Roman"/>
                <w:color w:val="000000"/>
                <w:sz w:val="28"/>
                <w:szCs w:val="28"/>
              </w:rPr>
              <w:t>继续执行新生儿‘落地’参保政策，新生儿自出生之日起6个月内参保缴费的，自出生之日起享受当年居民医保待遇。按规定享受相应的生育津贴。</w:t>
            </w:r>
          </w:p>
          <w:p>
            <w:pPr>
              <w:spacing w:line="560" w:lineRule="exact"/>
              <w:ind w:firstLine="560" w:firstLineChars="200"/>
              <w:rPr>
                <w:rFonts w:ascii="Times New Roman" w:hAnsi="Times New Roman" w:cs="Times New Roman"/>
                <w:color w:val="000000" w:themeColor="text1"/>
                <w:sz w:val="24"/>
                <w:szCs w:val="24"/>
              </w:rPr>
            </w:pPr>
            <w:r>
              <w:rPr>
                <w:rFonts w:ascii="Times New Roman" w:hAnsi="Times New Roman" w:eastAsia="仿宋_GB2312" w:cs="Times New Roman"/>
                <w:b/>
                <w:color w:val="000000"/>
                <w:sz w:val="28"/>
                <w:szCs w:val="28"/>
              </w:rPr>
              <w:t>提供就业保障。</w:t>
            </w:r>
            <w:r>
              <w:rPr>
                <w:rFonts w:ascii="Times New Roman" w:hAnsi="Times New Roman" w:eastAsia="仿宋_GB2312" w:cs="Times New Roman"/>
                <w:color w:val="000000"/>
                <w:sz w:val="28"/>
                <w:szCs w:val="28"/>
              </w:rPr>
              <w:t>妇女妊娠、生育和哺乳期间，享受国家规定的特殊劳动保护。鼓励用人单位制定有利于职工平衡工作和家庭关系的措施，依法协商确定有利于照顾婴幼儿的灵活休假和弹性工作制度。</w:t>
            </w:r>
          </w:p>
        </w:tc>
      </w:tr>
      <w:bookmarkEnd w:id="13"/>
    </w:tbl>
    <w:p>
      <w:pPr>
        <w:pStyle w:val="2"/>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4" w:name="_Toc142666148"/>
      <w:r>
        <w:rPr>
          <w:rFonts w:ascii="Times New Roman" w:hAnsi="Times New Roman" w:eastAsia="仿宋_GB2312" w:cs="Times New Roman"/>
          <w:b/>
          <w:sz w:val="32"/>
          <w:szCs w:val="32"/>
        </w:rPr>
        <w:t>4.保持生育水平动态调节</w:t>
      </w:r>
      <w:bookmarkEnd w:id="14"/>
      <w:r>
        <w:rPr>
          <w:rFonts w:ascii="Times New Roman" w:hAnsi="Times New Roman" w:eastAsia="仿宋_GB2312" w:cs="Times New Roman"/>
          <w:b/>
          <w:sz w:val="32"/>
          <w:szCs w:val="32"/>
        </w:rPr>
        <w:t xml:space="preserve"> </w:t>
      </w:r>
    </w:p>
    <w:p>
      <w:pPr>
        <w:adjustRightInd w:val="0"/>
        <w:snapToGri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切实加强育龄人群规模、生育意愿、价值追求、生育行为、养育需求、生育政策实施效果等社会生育环境的调查研究与动态评估，</w:t>
      </w:r>
      <w:r>
        <w:rPr>
          <w:rFonts w:ascii="Times New Roman" w:hAnsi="Times New Roman" w:eastAsia="仿宋_GB2312" w:cs="Times New Roman"/>
          <w:kern w:val="0"/>
          <w:sz w:val="32"/>
          <w:szCs w:val="32"/>
        </w:rPr>
        <w:t>保持适度生育水平，维持和促进人口良性再生产。健全生育政策调控机制，改革完善计划生育服务管理，构建生育友好型社会，引导生育水平有效提升并稳定在适度区间，促进人口均衡发展。定期科学评估人口与资源、社会经济发展的匹配度，综合分析</w:t>
      </w:r>
      <w:r>
        <w:rPr>
          <w:rFonts w:ascii="Times New Roman" w:hAnsi="Times New Roman" w:eastAsia="仿宋_GB2312" w:cs="Times New Roman"/>
          <w:sz w:val="32"/>
          <w:szCs w:val="32"/>
        </w:rPr>
        <w:t>经济增长、社会发展和科技进步对群众生育意愿、生育行为的深层影响</w:t>
      </w:r>
      <w:r>
        <w:rPr>
          <w:rFonts w:ascii="Times New Roman" w:hAnsi="Times New Roman" w:eastAsia="仿宋_GB2312" w:cs="Times New Roman"/>
          <w:kern w:val="0"/>
          <w:sz w:val="32"/>
          <w:szCs w:val="32"/>
        </w:rPr>
        <w:t>，对生育政策进行长期规划，使之与社会经济政策有效衔接，推动人口形势满足未来经济发展和社会转型的要求，为经济社会发展提供基础性保障和有力支撑。</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15" w:name="_Toc142666149"/>
      <w:r>
        <w:rPr>
          <w:rFonts w:ascii="Times New Roman" w:hAnsi="Times New Roman" w:eastAsia="楷体_GB2312" w:cs="Times New Roman"/>
          <w:sz w:val="32"/>
          <w:szCs w:val="32"/>
        </w:rPr>
        <w:t>（二）改善生命质量，推动人口高质发展</w:t>
      </w:r>
      <w:bookmarkEnd w:id="15"/>
    </w:p>
    <w:p>
      <w:pPr>
        <w:pStyle w:val="14"/>
        <w:adjustRightInd w:val="0"/>
        <w:snapToGrid w:val="0"/>
        <w:spacing w:line="580" w:lineRule="exact"/>
        <w:ind w:left="0" w:leftChars="0" w:firstLine="0" w:firstLineChars="0"/>
        <w:rPr>
          <w:rFonts w:ascii="Times New Roman" w:hAnsi="Times New Roman" w:eastAsia="仿宋_GB2312" w:cs="Times New Roman"/>
          <w:kern w:val="0"/>
        </w:rPr>
      </w:pPr>
      <w:r>
        <w:rPr>
          <w:rFonts w:ascii="Times New Roman" w:hAnsi="Times New Roman" w:eastAsia="仿宋_GB2312" w:cs="Times New Roman"/>
          <w:kern w:val="0"/>
        </w:rPr>
        <w:t xml:space="preserve">    聚焦城区人口高质量发展，着力完善健康筛查、健康素养、医保参保、教育提升等相关政策及配套措施，厚植人口综合竞争力，全方位提高人口质量。为经济发展方式转变、产业结构升级、全要素生产率提高提供高质量人才支撑。</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6" w:name="_Toc142666150"/>
      <w:r>
        <w:rPr>
          <w:rFonts w:ascii="Times New Roman" w:hAnsi="Times New Roman" w:eastAsia="仿宋_GB2312" w:cs="Times New Roman"/>
          <w:b/>
          <w:sz w:val="32"/>
          <w:szCs w:val="32"/>
        </w:rPr>
        <w:t>1.提高出生人口健康素质</w:t>
      </w:r>
      <w:bookmarkEnd w:id="16"/>
    </w:p>
    <w:p>
      <w:pPr>
        <w:adjustRightInd w:val="0"/>
        <w:snapToGrid w:val="0"/>
        <w:spacing w:line="580" w:lineRule="exact"/>
        <w:ind w:firstLine="600"/>
        <w:rPr>
          <w:rFonts w:ascii="Times New Roman" w:hAnsi="Times New Roman" w:eastAsia="仿宋_GB2312" w:cs="Times New Roman"/>
          <w:kern w:val="0"/>
          <w:sz w:val="32"/>
          <w:szCs w:val="32"/>
        </w:rPr>
      </w:pPr>
      <w:r>
        <w:rPr>
          <w:rStyle w:val="30"/>
          <w:rFonts w:ascii="Times New Roman" w:hAnsi="Times New Roman" w:eastAsia="仿宋_GB2312"/>
          <w:b/>
          <w:bCs/>
          <w:sz w:val="32"/>
          <w:szCs w:val="32"/>
        </w:rPr>
        <w:t>加强出生缺陷筛查防治。</w:t>
      </w:r>
      <w:r>
        <w:rPr>
          <w:rFonts w:ascii="Times New Roman" w:hAnsi="Times New Roman" w:eastAsia="仿宋_GB2312" w:cs="Times New Roman"/>
          <w:kern w:val="0"/>
          <w:sz w:val="32"/>
          <w:szCs w:val="32"/>
        </w:rPr>
        <w:t>健全出生缺陷防治网络，全面落实三级预防措施。建立出生缺陷综合干预中心，实施出生缺陷综合防控项目。构建覆盖城乡居民，涵盖孕前、孕期、围产期、新生儿各阶段的出生缺陷防治体系。全面实施目标人群全覆盖的婚检和免费孕前优生健康检查、孕产期保健服务，加强早孕期健康管理。加强对致命畸形及染色体异常筛查，对致畸危险因素和家族遗传病史进行调查，提供优生咨询指导和综合干预服务，从源头上降低出生缺陷的发生风险、减少严重出生缺陷儿出生。加强0-6岁儿童残疾筛查，做好先天性结构畸形和遗传代谢病救助项目，提供筛查、诊断、治疗和贫困救助全程服务，对早产儿进行专案管理。</w:t>
      </w:r>
    </w:p>
    <w:p>
      <w:pPr>
        <w:widowControl/>
        <w:spacing w:line="560" w:lineRule="exact"/>
        <w:ind w:firstLine="640" w:firstLineChars="200"/>
        <w:jc w:val="left"/>
        <w:rPr>
          <w:rStyle w:val="30"/>
          <w:rFonts w:ascii="Times New Roman" w:hAnsi="Times New Roman" w:eastAsia="仿宋_GB2312"/>
          <w:sz w:val="32"/>
          <w:szCs w:val="32"/>
        </w:rPr>
      </w:pPr>
      <w:r>
        <w:rPr>
          <w:rStyle w:val="30"/>
          <w:rFonts w:ascii="Times New Roman" w:hAnsi="Times New Roman" w:eastAsia="仿宋_GB2312"/>
          <w:b/>
          <w:bCs/>
          <w:sz w:val="32"/>
          <w:szCs w:val="32"/>
        </w:rPr>
        <w:t>关口前移保障母婴健康。</w:t>
      </w:r>
      <w:r>
        <w:rPr>
          <w:rStyle w:val="30"/>
          <w:rFonts w:ascii="Times New Roman" w:hAnsi="Times New Roman" w:eastAsia="仿宋_GB2312"/>
          <w:bCs/>
          <w:sz w:val="32"/>
          <w:szCs w:val="32"/>
        </w:rPr>
        <w:t>坚持优生优育，切实维护母婴安全。</w:t>
      </w:r>
      <w:r>
        <w:rPr>
          <w:rFonts w:ascii="Times New Roman" w:hAnsi="Times New Roman" w:eastAsia="仿宋_GB2312" w:cs="Times New Roman"/>
          <w:color w:val="000000"/>
          <w:sz w:val="32"/>
          <w:szCs w:val="32"/>
        </w:rPr>
        <w:t>为妇女婴儿提供优质的孕前优生健康检查、</w:t>
      </w:r>
      <w:r>
        <w:rPr>
          <w:rStyle w:val="30"/>
          <w:rFonts w:ascii="Times New Roman" w:hAnsi="Times New Roman" w:eastAsia="仿宋_GB2312"/>
          <w:sz w:val="32"/>
          <w:szCs w:val="32"/>
        </w:rPr>
        <w:t>孕期保健、</w:t>
      </w:r>
      <w:r>
        <w:rPr>
          <w:rFonts w:ascii="Times New Roman" w:hAnsi="Times New Roman" w:eastAsia="仿宋_GB2312" w:cs="Times New Roman"/>
          <w:color w:val="000000"/>
          <w:sz w:val="32"/>
          <w:szCs w:val="32"/>
        </w:rPr>
        <w:t>住院分娩、母婴保健、避孕节育等全过程的生育服务。</w:t>
      </w:r>
      <w:r>
        <w:rPr>
          <w:rStyle w:val="30"/>
          <w:rFonts w:ascii="Times New Roman" w:hAnsi="Times New Roman" w:eastAsia="仿宋_GB2312"/>
          <w:sz w:val="32"/>
          <w:szCs w:val="32"/>
        </w:rPr>
        <w:t>着力生殖健康科普宣导，加强妇女常见疾病筛查</w:t>
      </w:r>
      <w:r>
        <w:rPr>
          <w:rStyle w:val="30"/>
          <w:rFonts w:hint="eastAsia" w:ascii="Times New Roman" w:hAnsi="Times New Roman" w:eastAsia="仿宋_GB2312"/>
          <w:sz w:val="32"/>
          <w:szCs w:val="32"/>
        </w:rPr>
        <w:t>、</w:t>
      </w:r>
      <w:r>
        <w:rPr>
          <w:rFonts w:ascii="Times New Roman" w:hAnsi="Times New Roman" w:eastAsia="仿宋_GB2312" w:cs="Times New Roman"/>
          <w:color w:val="000000"/>
          <w:sz w:val="32"/>
          <w:szCs w:val="32"/>
        </w:rPr>
        <w:t>普查、普治力度，逐步扩大免费检查覆盖范围，</w:t>
      </w:r>
      <w:r>
        <w:rPr>
          <w:rStyle w:val="30"/>
          <w:rFonts w:ascii="Times New Roman" w:hAnsi="Times New Roman" w:eastAsia="仿宋_GB2312"/>
          <w:sz w:val="32"/>
          <w:szCs w:val="32"/>
        </w:rPr>
        <w:t>提高妇女健康水平。重视生育力保护，加强避孕节育知识宣传，指导分娩后、流产后及时采取避孕措施，减少非意愿妊娠。根据孕产妇孕周、产检内容、妊娠风险评级及孕妇自我管理能力综合判断，科学安排产检频次，对孕产妇进行分级分类管理，提升风险防范意识，做好妊娠风险评估，全面落实住院分娩。加强产科安全管理，健全急救预案和产儿科协作机制，完善危重孕产妇和新生儿急救会诊、转诊、多学科联合救治及辖区救治协调机制，提升危重孕产妇救治和新生儿救治能力。</w:t>
      </w:r>
      <w:r>
        <w:rPr>
          <w:rFonts w:ascii="Times New Roman" w:hAnsi="Times New Roman" w:eastAsia="仿宋_GB2312" w:cs="Times New Roman"/>
          <w:color w:val="000000"/>
          <w:sz w:val="32"/>
          <w:szCs w:val="32"/>
        </w:rPr>
        <w:t>加强儿童健康干预和儿科诊疗能力建设，建立健全新生儿及儿童致残性疾病筛查、诊断、干预一体化工作机制。</w:t>
      </w:r>
      <w:r>
        <w:rPr>
          <w:rStyle w:val="30"/>
          <w:rFonts w:ascii="Times New Roman" w:hAnsi="Times New Roman" w:eastAsia="仿宋_GB2312"/>
          <w:sz w:val="32"/>
          <w:szCs w:val="32"/>
        </w:rPr>
        <w:t>完善残疾儿童康复救助制度，普遍开展残疾儿童早期康复活动，优先开展残疾儿童抢救性治疗和康复。</w:t>
      </w:r>
      <w:r>
        <w:rPr>
          <w:rFonts w:ascii="Times New Roman" w:hAnsi="Times New Roman" w:eastAsia="仿宋_GB2312" w:cs="Times New Roman"/>
          <w:color w:val="000000"/>
          <w:sz w:val="32"/>
          <w:szCs w:val="32"/>
        </w:rPr>
        <w:t>加强儿童心理干预制度建设。实施健康儿童计划、落实扩大国家免疫规划。</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7" w:name="_Toc142666151"/>
      <w:r>
        <w:rPr>
          <w:rFonts w:ascii="Times New Roman" w:hAnsi="Times New Roman" w:eastAsia="仿宋_GB2312" w:cs="Times New Roman"/>
          <w:b/>
          <w:sz w:val="32"/>
          <w:szCs w:val="32"/>
        </w:rPr>
        <w:t>2.持续提升全民健康素养</w:t>
      </w:r>
      <w:bookmarkEnd w:id="17"/>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着力构建健康城区。</w:t>
      </w:r>
      <w:r>
        <w:rPr>
          <w:rFonts w:ascii="Times New Roman" w:hAnsi="Times New Roman" w:eastAsia="仿宋_GB2312" w:cs="Times New Roman"/>
          <w:sz w:val="32"/>
          <w:szCs w:val="32"/>
        </w:rPr>
        <w:t>筑牢全区公共卫生防护网，巩固国家卫生城市建设，持续落实“三个一”环境卫生整治制度，深入开展爱国卫生运动等环境卫生专项整治行动，为城区人口创造良好卫生环境。持续推进健康城区建设，实施广东省卫生镇、广东省卫生村全覆盖，积极创建国家卫生镇。为增进全区人民健康创造有利条件。优化全生命周期健康服务，完善健康优先发展保障体系，全面推进公共卫生服务。</w:t>
      </w:r>
      <w:r>
        <w:rPr>
          <w:rFonts w:ascii="Times New Roman" w:hAnsi="Times New Roman" w:eastAsia="仿宋_GB2312" w:cs="Times New Roman"/>
          <w:kern w:val="0"/>
          <w:sz w:val="32"/>
          <w:szCs w:val="32"/>
          <w:lang w:bidi="hi-IN"/>
        </w:rPr>
        <w:t>开展居民健康档案质量提升活动，重点针对妇女儿童保健、65岁以上老年人健康管理、免疫规划工作、传染病防治、慢性病及重性精神病管理工作、卫生监督协管等领域展开工作。</w:t>
      </w:r>
      <w:r>
        <w:rPr>
          <w:rFonts w:ascii="Times New Roman" w:hAnsi="Times New Roman" w:eastAsia="仿宋_GB2312" w:cs="Times New Roman"/>
          <w:sz w:val="32"/>
          <w:szCs w:val="32"/>
        </w:rPr>
        <w:t>落实家庭医生签约服务，全面实施国家基本公共卫生服务项目，采取“互联网+医疗健康”等方式，加快家庭医生签约服务智能化信息平台建设与应用，加强居民医疗健康信息管理，为构建健康城区奠定坚实基础。</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推升全民康养条件。</w:t>
      </w:r>
      <w:r>
        <w:rPr>
          <w:rFonts w:ascii="Times New Roman" w:hAnsi="Times New Roman" w:eastAsia="仿宋_GB2312" w:cs="Times New Roman"/>
          <w:color w:val="000000"/>
          <w:sz w:val="32"/>
          <w:szCs w:val="32"/>
        </w:rPr>
        <w:t>广泛开展全民健身活动，普及科学健身知识和健身方法，推动全民健身生活化，塑造自主自律的健康行为。</w:t>
      </w:r>
      <w:r>
        <w:rPr>
          <w:rFonts w:ascii="Times New Roman" w:hAnsi="Times New Roman" w:eastAsia="仿宋_GB2312" w:cs="Times New Roman"/>
          <w:sz w:val="32"/>
          <w:szCs w:val="32"/>
        </w:rPr>
        <w:t>加强健康教育与健康促进服务体系建设，将健康促进理念融入公共政策制定和实施全过程，着力提高全民健康意识，普及康养知识与技能。</w:t>
      </w:r>
      <w:r>
        <w:rPr>
          <w:rStyle w:val="30"/>
          <w:rFonts w:ascii="Times New Roman" w:hAnsi="Times New Roman" w:eastAsia="仿宋_GB2312"/>
          <w:sz w:val="32"/>
          <w:szCs w:val="32"/>
        </w:rPr>
        <w:t>推进健身科技创新体系建设和全民科学健身素养促进工程，发挥全民科学健身在健康促进、慢性病预防和康复等方面的积极作用，延长健康预期寿命。</w:t>
      </w:r>
      <w:r>
        <w:rPr>
          <w:rFonts w:ascii="Times New Roman" w:hAnsi="Times New Roman" w:eastAsia="仿宋_GB2312" w:cs="Times New Roman"/>
          <w:kern w:val="0"/>
          <w:sz w:val="32"/>
          <w:szCs w:val="32"/>
          <w:lang w:bidi="hi-IN"/>
        </w:rPr>
        <w:t>定期开展基层健康教育培训，讲解健康教育服务规范。在各</w:t>
      </w:r>
      <w:r>
        <w:rPr>
          <w:rFonts w:hint="eastAsia" w:ascii="Times New Roman" w:hAnsi="Times New Roman" w:eastAsia="仿宋_GB2312" w:cs="Times New Roman"/>
          <w:kern w:val="0"/>
          <w:sz w:val="32"/>
          <w:szCs w:val="32"/>
          <w:lang w:eastAsia="zh-CN" w:bidi="hi-IN"/>
        </w:rPr>
        <w:t>镇（街道）</w:t>
      </w:r>
      <w:r>
        <w:rPr>
          <w:rFonts w:ascii="Times New Roman" w:hAnsi="Times New Roman" w:eastAsia="仿宋_GB2312" w:cs="Times New Roman"/>
          <w:kern w:val="0"/>
          <w:sz w:val="32"/>
          <w:szCs w:val="32"/>
          <w:lang w:bidi="hi-IN"/>
        </w:rPr>
        <w:t>卫生院、社区卫生服务中心、村卫生室规范设置健康教育宣传栏，重点推行减盐防控高血压、中医防病治病知识宣传。定期开展个性化健康教育及健康素养监测培训，指导</w:t>
      </w:r>
      <w:r>
        <w:rPr>
          <w:rFonts w:hint="eastAsia" w:ascii="Times New Roman" w:hAnsi="Times New Roman" w:eastAsia="仿宋_GB2312" w:cs="Times New Roman"/>
          <w:kern w:val="0"/>
          <w:sz w:val="32"/>
          <w:szCs w:val="32"/>
          <w:lang w:eastAsia="zh-CN" w:bidi="hi-IN"/>
        </w:rPr>
        <w:t>各镇（街道）</w:t>
      </w:r>
      <w:r>
        <w:rPr>
          <w:rFonts w:ascii="Times New Roman" w:hAnsi="Times New Roman" w:eastAsia="仿宋_GB2312" w:cs="Times New Roman"/>
          <w:kern w:val="0"/>
          <w:sz w:val="32"/>
          <w:szCs w:val="32"/>
          <w:lang w:bidi="hi-IN"/>
        </w:rPr>
        <w:t>开展健康素养监测与服务。</w:t>
      </w:r>
      <w:r>
        <w:rPr>
          <w:rFonts w:ascii="Times New Roman" w:hAnsi="Times New Roman" w:eastAsia="仿宋_GB2312" w:cs="Times New Roman"/>
          <w:sz w:val="32"/>
          <w:szCs w:val="32"/>
        </w:rPr>
        <w:t>充分发挥老年大学、社区宣教等宣传渠道，加速推进老年健康教育和生命教育，补齐老年健康素养短板。积极推广国民营养计划、全民健康素养促进计划，通过培育社区公益宣讲员等形式，传播科学膳食理念，科普健康生活方式。普及以减重、运动、睡眠、戒烟为主要内容的全民健康生活方式。实施开展“减盐、减油、减糖，健康体重、健康骨骼、健康口腔”专项行动，改善重点人群营养状况。</w:t>
      </w:r>
    </w:p>
    <w:p>
      <w:pPr>
        <w:widowControl/>
        <w:shd w:val="clear" w:color="auto" w:fill="FFFFFF"/>
        <w:adjustRightInd w:val="0"/>
        <w:snapToGrid w:val="0"/>
        <w:spacing w:line="580" w:lineRule="exact"/>
        <w:rPr>
          <w:rStyle w:val="30"/>
          <w:rFonts w:ascii="Times New Roman" w:hAnsi="Times New Roman" w:eastAsia="仿宋_GB2312"/>
          <w:sz w:val="32"/>
          <w:szCs w:val="32"/>
        </w:rPr>
      </w:pPr>
      <w:r>
        <w:rPr>
          <w:rFonts w:ascii="Times New Roman" w:hAnsi="Times New Roman" w:eastAsia="仿宋_GB2312" w:cs="Times New Roman"/>
          <w:b/>
          <w:bCs/>
          <w:kern w:val="0"/>
          <w:sz w:val="32"/>
          <w:szCs w:val="32"/>
        </w:rPr>
        <w:t xml:space="preserve">    加强慢病综合防控。</w:t>
      </w:r>
      <w:r>
        <w:rPr>
          <w:rFonts w:ascii="Times New Roman" w:hAnsi="Times New Roman" w:eastAsia="仿宋_GB2312" w:cs="Times New Roman"/>
          <w:bCs/>
          <w:kern w:val="0"/>
          <w:sz w:val="32"/>
          <w:szCs w:val="32"/>
        </w:rPr>
        <w:t>着重强调提高心脑血管疾病、癌症、慢性呼吸系统疾病、糖尿病等重大慢性病综合防治能力，强化预防、早期筛查和综合干预，逐步将符合条件的慢性病早诊早治适宜技术按规定纳入诊疗常规。</w:t>
      </w:r>
      <w:r>
        <w:rPr>
          <w:rStyle w:val="30"/>
          <w:rFonts w:ascii="Times New Roman" w:hAnsi="Times New Roman" w:eastAsia="仿宋_GB2312"/>
          <w:sz w:val="32"/>
          <w:szCs w:val="32"/>
        </w:rPr>
        <w:t>鼓励医疗卫生机构和医务工作志愿者为居家失能老年人提供家庭病床、巡诊等上门医疗服务。着力强化对老年常见病、慢性病的健康教育、健康指导和综合干预，</w:t>
      </w:r>
      <w:r>
        <w:rPr>
          <w:rFonts w:ascii="Times New Roman" w:hAnsi="Times New Roman" w:eastAsia="仿宋_GB2312" w:cs="Times New Roman"/>
          <w:sz w:val="32"/>
          <w:szCs w:val="32"/>
        </w:rPr>
        <w:t>早诊早治，规范诊疗和康复，提高治疗效果，减缓慢性病发病率、病死率、致残率。</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8" w:name="_Toc142666152"/>
      <w:r>
        <w:rPr>
          <w:rFonts w:ascii="Times New Roman" w:hAnsi="Times New Roman" w:eastAsia="仿宋_GB2312" w:cs="Times New Roman"/>
          <w:b/>
          <w:sz w:val="32"/>
          <w:szCs w:val="32"/>
        </w:rPr>
        <w:t>3.提升城乡医疗保险质量</w:t>
      </w:r>
      <w:bookmarkEnd w:id="18"/>
    </w:p>
    <w:p>
      <w:pPr>
        <w:pStyle w:val="16"/>
        <w:shd w:val="clear" w:color="auto" w:fill="FFFFFF"/>
        <w:adjustRightInd w:val="0"/>
        <w:snapToGrid w:val="0"/>
        <w:spacing w:beforeAutospacing="0" w:afterAutospacing="0" w:line="580" w:lineRule="exact"/>
        <w:ind w:firstLine="643"/>
        <w:jc w:val="both"/>
        <w:rPr>
          <w:rStyle w:val="30"/>
          <w:rFonts w:ascii="Times New Roman" w:hAnsi="Times New Roman" w:eastAsia="仿宋_GB2312"/>
          <w:sz w:val="32"/>
          <w:szCs w:val="32"/>
        </w:rPr>
      </w:pPr>
      <w:r>
        <w:rPr>
          <w:rStyle w:val="30"/>
          <w:rFonts w:ascii="Times New Roman" w:hAnsi="Times New Roman" w:eastAsia="仿宋_GB2312"/>
          <w:b/>
          <w:sz w:val="32"/>
          <w:szCs w:val="32"/>
        </w:rPr>
        <w:t>推进基本医保全覆盖</w:t>
      </w:r>
      <w:r>
        <w:rPr>
          <w:rStyle w:val="30"/>
          <w:rFonts w:ascii="Times New Roman" w:hAnsi="Times New Roman" w:eastAsia="仿宋_GB2312"/>
          <w:sz w:val="32"/>
          <w:szCs w:val="32"/>
        </w:rPr>
        <w:t>。推进“医疗、医保、医药、医联体建设、数字医疗”五医联动的医药卫生体制改革，稳步提高医疗保障水平，提升基本医疗保险参保质量，减轻群众医疗费用负担。落实全民参保计划，引导职工和城乡居民积极参保，基本医疗保险参保覆盖率稳定在95%以上。全面落实普通门诊统筹制度，将基本医疗保险参保人急诊、抢救发生的医疗费用纳入医保报销范围，将普通门诊医疗费纳入医疗救助范围，稳步提高普通门诊待遇水平。深化推进医保支付方式改革，扩大个人账户使用范围至可用于支付参保人员本人及配偶、父母、子女在定点医疗机构就医发生的由个人负担的医疗费用；在定点零售药店购买药品、医疗器械、医用耗材发生的由个人负担的费用；配偶、父母、子女参加居民医保等的个人缴费；参保人员本人退休时未达到职工医保最低缴费年限的缴费费用；在定点医疗机构发生的由个人负担的符合规定的中医“治未病”费用等。扩大门特病种范围，提高住院报销限额，进一步减轻患者看病就医负担，切实解决群众看病难、看病贵的问题。</w:t>
      </w:r>
    </w:p>
    <w:p>
      <w:pPr>
        <w:pStyle w:val="16"/>
        <w:shd w:val="clear" w:color="auto" w:fill="FFFFFF"/>
        <w:adjustRightInd w:val="0"/>
        <w:snapToGrid w:val="0"/>
        <w:spacing w:beforeAutospacing="0" w:afterAutospacing="0" w:line="580" w:lineRule="exact"/>
        <w:ind w:firstLine="643"/>
        <w:jc w:val="both"/>
        <w:rPr>
          <w:rStyle w:val="30"/>
          <w:rFonts w:ascii="Times New Roman" w:hAnsi="Times New Roman" w:eastAsia="仿宋_GB2312"/>
          <w:sz w:val="32"/>
          <w:szCs w:val="32"/>
        </w:rPr>
      </w:pPr>
      <w:r>
        <w:rPr>
          <w:rStyle w:val="30"/>
          <w:rFonts w:ascii="Times New Roman" w:hAnsi="Times New Roman" w:eastAsia="仿宋_GB2312"/>
          <w:b/>
          <w:sz w:val="32"/>
          <w:szCs w:val="32"/>
        </w:rPr>
        <w:t>强化大病保险制度。</w:t>
      </w:r>
      <w:r>
        <w:rPr>
          <w:rStyle w:val="30"/>
          <w:rFonts w:ascii="Times New Roman" w:hAnsi="Times New Roman" w:eastAsia="仿宋_GB2312"/>
          <w:sz w:val="32"/>
          <w:szCs w:val="32"/>
        </w:rPr>
        <w:t>执行省市大病保险制度，实现大病保险与基本医疗保险的衔接，逐步提高政策范围内支付比例，逐步提高城镇职工、城乡居民医疗保险年度报销限额。争取大病保险政策对特殊人群倾斜。提高纳入监测范围的农村易返贫致贫人员、低保对象二次起付标准，提高报销比例且不设封顶线，切实减轻特殊人群大病负担。扎实开展重大疾病巡访医保服务工作，依托“民情地图”工作平台，运用“大数据+网格化+群众路线”工作机制，创新“信息化+网格化+便捷化”工作举措，及时将符合条件的人员纳入医疗救助范围，扎牢民生保障底线安全网。</w:t>
      </w:r>
    </w:p>
    <w:p>
      <w:pPr>
        <w:pStyle w:val="16"/>
        <w:shd w:val="clear" w:color="auto" w:fill="FFFFFF"/>
        <w:adjustRightInd w:val="0"/>
        <w:snapToGrid w:val="0"/>
        <w:spacing w:beforeAutospacing="0" w:afterAutospacing="0" w:line="580" w:lineRule="exact"/>
        <w:ind w:firstLine="643"/>
        <w:jc w:val="both"/>
        <w:rPr>
          <w:rStyle w:val="30"/>
          <w:rFonts w:ascii="Times New Roman" w:hAnsi="Times New Roman" w:eastAsia="仿宋_GB2312"/>
          <w:sz w:val="32"/>
          <w:szCs w:val="32"/>
        </w:rPr>
      </w:pPr>
      <w:r>
        <w:rPr>
          <w:rStyle w:val="30"/>
          <w:rFonts w:ascii="Times New Roman" w:hAnsi="Times New Roman" w:eastAsia="仿宋_GB2312"/>
          <w:b/>
          <w:sz w:val="32"/>
          <w:szCs w:val="32"/>
        </w:rPr>
        <w:t>落实医疗救助政策。</w:t>
      </w:r>
      <w:r>
        <w:rPr>
          <w:rStyle w:val="30"/>
          <w:rFonts w:ascii="Times New Roman" w:hAnsi="Times New Roman" w:eastAsia="仿宋_GB2312"/>
          <w:sz w:val="32"/>
          <w:szCs w:val="32"/>
        </w:rPr>
        <w:t>贯彻落实医疗救助市级统筹制度，将基本医疗保险政策外的自费费用纳入二次救助范围；将普通门诊合规医疗费用纳入医疗救助范围。提高医疗救助标准，提高救助年度限额。全面落实资助重点救助对象参保缴费政策，实现应保尽保。对特困供养人员、孤儿二次救助不设起付线和年度限额，实现救助比例100%。落实一站式结算，加快特殊人群的医疗救助与本市基本医疗保险、大病保险无缝衔接，切实解决困难群众看病难、看病贵的问题。开通特殊人群资助参保绿色通道，允许中途参保，全额资助困难人群参加城乡居民基本理疗保险，确保应保尽保，享受基本医疗保险待遇。积极拓展筹资渠道，为困难人群参保提供资助。</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bCs/>
          <w:sz w:val="32"/>
          <w:szCs w:val="32"/>
        </w:rPr>
      </w:pPr>
      <w:r>
        <w:rPr>
          <w:rFonts w:ascii="Times New Roman" w:hAnsi="Times New Roman" w:eastAsia="仿宋_GB2312"/>
          <w:b/>
          <w:sz w:val="32"/>
          <w:szCs w:val="32"/>
        </w:rPr>
        <w:t>加快优质资源扩容提质。</w:t>
      </w:r>
      <w:r>
        <w:rPr>
          <w:rFonts w:ascii="Times New Roman" w:hAnsi="Times New Roman" w:eastAsia="仿宋_GB2312"/>
          <w:sz w:val="32"/>
          <w:szCs w:val="32"/>
        </w:rPr>
        <w:t>合理配置卫生资源，大力推进基层卫生队伍建设，</w:t>
      </w:r>
      <w:r>
        <w:rPr>
          <w:rFonts w:ascii="Times New Roman" w:hAnsi="Times New Roman" w:eastAsia="仿宋_GB2312"/>
          <w:sz w:val="32"/>
          <w:szCs w:val="32"/>
          <w:lang w:bidi="hi-IN"/>
        </w:rPr>
        <w:t>提高基层医务服务水平。加强优质医疗资源扩容和下沉，推动均衡布局。重点打造医疗“一镇一特色”的专科能力建设，通过远程会诊的方式，与总院专家、省医院专家面对面会诊，整合医疗资源、提高使用效率。</w:t>
      </w:r>
      <w:r>
        <w:rPr>
          <w:rFonts w:ascii="Times New Roman" w:hAnsi="Times New Roman" w:eastAsia="仿宋_GB2312"/>
          <w:bCs/>
          <w:sz w:val="32"/>
          <w:szCs w:val="32"/>
        </w:rPr>
        <w:t>推动医疗资源均衡布局，建立检验病理检查、影像心脑电检查、消毒供应、医药物流配送、分级诊疗转诊等共享中心，推动全区人口医疗资源共享、均衡布局。加快龙头医院逸挥基金医院在全区优质医疗服务提升方面的引领作用，全面建设胸痛中心、卒中中心、创伤中心、危重孕产妇救治中心、危重儿童和新生儿救治中心“五大救治中心”，建立城区快速、高效、全覆盖的急危重症医疗救治体系。</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19" w:name="_Toc142666153"/>
      <w:r>
        <w:rPr>
          <w:rFonts w:ascii="Times New Roman" w:hAnsi="Times New Roman" w:eastAsia="仿宋_GB2312" w:cs="Times New Roman"/>
          <w:b/>
          <w:sz w:val="32"/>
          <w:szCs w:val="32"/>
        </w:rPr>
        <w:t>4.教育助推人口持续发展</w:t>
      </w:r>
      <w:bookmarkEnd w:id="19"/>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提升基础教育办学水平。</w:t>
      </w:r>
      <w:r>
        <w:rPr>
          <w:rFonts w:ascii="Times New Roman" w:hAnsi="Times New Roman" w:eastAsia="仿宋_GB2312"/>
          <w:sz w:val="32"/>
          <w:szCs w:val="32"/>
        </w:rPr>
        <w:t xml:space="preserve">促进学前教育优质发展，增加普惠性学位供给。规范发展民办幼儿园，逐步完成营利性和非营利性幼儿园分类登记。全面推行公办幼儿园和中小学午餐供应和课后服务两个“全覆盖”，学前三年毛入园率超过100%，普惠性幼儿园覆盖率超过90%。巩固义务教育基本均衡发展水平，合理有序扩大城镇学校学位供给，大力提高乡村及薄弱地区义务教育质量，稳步推进农村小规模学校布局调整，完善特殊教育办学体系。积极引进双区优质学前教育、中小学教育资源，促进优质教育资源共享。扩大优质高中教育资源供给，统筹推进普通高中新课程改革和中、高考综合改革，建立健全确保高中阶段教育可持续发展的体制机制，提升普通高中办学质量，支持特色多样化发展。 </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提升职业教育发展能力。</w:t>
      </w:r>
      <w:r>
        <w:rPr>
          <w:rFonts w:ascii="Times New Roman" w:hAnsi="Times New Roman" w:eastAsia="仿宋_GB2312"/>
          <w:sz w:val="32"/>
          <w:szCs w:val="32"/>
        </w:rPr>
        <w:t>实施现代职业教育质量提升计划，深化职普融通、产教融合、校企合作，结合城区产业发展规划对职业教育专业设置进行提档升级，培养高素质的产业蓝领技术工人。支持职业院校和企业共建“双师型”教师培养培训基地，开展现代中医药、现代农业、先进制造业、现代服务业等紧缺领域教师培训，办好质量高、特色突出的新时代职业教育。根据本地产业特色和发展需求，加快培养电子信息、海洋生物、物联网、云计算、大数据、人工智能、5G等“新工科”、“新农科”人才。</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全面构建终身教育体系。</w:t>
      </w:r>
      <w:r>
        <w:rPr>
          <w:rFonts w:ascii="Times New Roman" w:hAnsi="Times New Roman" w:eastAsia="仿宋_GB2312"/>
          <w:bCs/>
          <w:sz w:val="32"/>
          <w:szCs w:val="32"/>
        </w:rPr>
        <w:t>统筹利用各类教育机构场地设施、教学实训设备参与和服务社区教育。共享基层社区服务中心、文化中心、体育中心等机构人员和设施，实现一个</w:t>
      </w:r>
      <w:r>
        <w:rPr>
          <w:rFonts w:ascii="Times New Roman" w:hAnsi="Times New Roman" w:eastAsia="仿宋_GB2312"/>
          <w:sz w:val="32"/>
          <w:szCs w:val="32"/>
        </w:rPr>
        <w:t xml:space="preserve">场所、多种功能。完善老年教育课程体系，健全社区老年教育网络。发挥文化、科技、体育等机构的社会教育功能，充分利用图书馆、文化馆、老年大学等公共服务设施和其他社会资源，面向社区老年人开展学习体验活动。 </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20" w:name="_Toc142666154"/>
      <w:r>
        <w:rPr>
          <w:rFonts w:ascii="Times New Roman" w:hAnsi="Times New Roman" w:eastAsia="楷体_GB2312" w:cs="Times New Roman"/>
          <w:sz w:val="32"/>
          <w:szCs w:val="32"/>
        </w:rPr>
        <w:t>（三）优化空间布局，促进人口高效集聚</w:t>
      </w:r>
      <w:bookmarkEnd w:id="20"/>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区域资源禀赋、区位条件与人口集聚，引导区域人口有序流动、科学布局。实施乡村振兴战略，推动中心城区、镇街与农村和谐共生，推进城乡融合发展。促进人口空间布局与区域发展战略相适应、与资源环境相协调，推进新型城镇化，构建汕尾城区高质量发展的人口空间布局和支撑系统。</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1" w:name="_Toc142666155"/>
      <w:r>
        <w:rPr>
          <w:rFonts w:ascii="Times New Roman" w:hAnsi="Times New Roman" w:eastAsia="仿宋_GB2312" w:cs="Times New Roman"/>
          <w:b/>
          <w:sz w:val="32"/>
          <w:szCs w:val="32"/>
        </w:rPr>
        <w:t>1.建立城乡立体人口分布</w:t>
      </w:r>
      <w:bookmarkEnd w:id="21"/>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强化核心城区辐射力。</w:t>
      </w:r>
      <w:r>
        <w:rPr>
          <w:rFonts w:ascii="Times New Roman" w:hAnsi="Times New Roman" w:eastAsia="仿宋_GB2312" w:cs="Times New Roman"/>
          <w:bCs/>
          <w:sz w:val="32"/>
          <w:szCs w:val="32"/>
        </w:rPr>
        <w:t>承接全市</w:t>
      </w:r>
      <w:r>
        <w:rPr>
          <w:rFonts w:ascii="Times New Roman" w:hAnsi="Times New Roman" w:eastAsia="仿宋_GB2312" w:cs="Times New Roman"/>
          <w:sz w:val="32"/>
          <w:szCs w:val="32"/>
        </w:rPr>
        <w:t>“东拓、西延、北扩、中优”的发展策略，分层次推进城区不同功能区建设。进一步优化香洲、凤山街道核心功能区，保持常住人口密度，强化其集聚发展和辐射带动能力；适度提升新港街道、东涌镇等辐射区人口密度；加快马宫街道常住人口吸纳能力，提升人气。推动全区“绣花”式精细化管理，加快市政道路升级改造和城市配套建设，打造“数字城市”“智慧城市”，着力打造适宜高端人才工作生活的综合环境。抓住全省全面接轨深圳、全力融入“双区”、深入衔接深汕特别合作区和携手汕潮揭建设的契机，加快打造中心城区增长极，不断强化城镇化的产业支撑，着力促进城区资源集约、产业集聚、人口集中、产城融合发展，更好地发挥辐射带动作用，为农业转移人口市民化提供坚实基础。</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对标资源调节人口分布。</w:t>
      </w:r>
      <w:r>
        <w:rPr>
          <w:rFonts w:ascii="Times New Roman" w:hAnsi="Times New Roman" w:eastAsia="仿宋_GB2312" w:cs="Times New Roman"/>
          <w:sz w:val="32"/>
          <w:szCs w:val="32"/>
        </w:rPr>
        <w:t>对标对表国家和省市规划，厘清城区资源现状，科学划定生态保护红线、永久基本农田、城镇开发边界等空间管控边界，科学调控人口分布，</w:t>
      </w:r>
      <w:r>
        <w:rPr>
          <w:rFonts w:ascii="Times New Roman" w:hAnsi="Times New Roman" w:eastAsia="仿宋_GB2312" w:cs="Times New Roman"/>
          <w:color w:val="000000"/>
          <w:sz w:val="32"/>
          <w:szCs w:val="32"/>
          <w:shd w:val="clear" w:color="auto" w:fill="FFFFFF"/>
        </w:rPr>
        <w:t>缓解人口与资源环境的矛盾，促进绿色发展。</w:t>
      </w:r>
      <w:r>
        <w:rPr>
          <w:rFonts w:ascii="Times New Roman" w:hAnsi="Times New Roman" w:eastAsia="仿宋_GB2312" w:cs="Times New Roman"/>
          <w:sz w:val="32"/>
          <w:szCs w:val="32"/>
        </w:rPr>
        <w:t>以资源为导向，引导生产力合理布局，促进人口合理有序集聚，形成人口与自然和谐共生的国土空间开发格局。</w:t>
      </w:r>
      <w:r>
        <w:rPr>
          <w:rFonts w:ascii="Times New Roman" w:hAnsi="Times New Roman" w:eastAsia="仿宋_GB2312" w:cs="Times New Roman"/>
          <w:color w:val="000000"/>
          <w:sz w:val="32"/>
          <w:szCs w:val="32"/>
          <w:shd w:val="clear" w:color="auto" w:fill="FFFFFF"/>
        </w:rPr>
        <w:t>发展新兴产业基地、特色小镇、众创空间、文旅基地等，优化功能布局，科学规划生产、生活、生态空间。</w:t>
      </w:r>
      <w:r>
        <w:rPr>
          <w:rFonts w:ascii="Times New Roman" w:hAnsi="Times New Roman" w:eastAsia="仿宋_GB2312" w:cs="Times New Roman"/>
          <w:sz w:val="32"/>
          <w:szCs w:val="32"/>
        </w:rPr>
        <w:t>在城市</w:t>
      </w:r>
      <w:r>
        <w:rPr>
          <w:rFonts w:hint="eastAsia" w:ascii="Times New Roman" w:hAnsi="Times New Roman" w:eastAsia="仿宋_GB2312" w:cs="Times New Roman"/>
          <w:sz w:val="32"/>
          <w:szCs w:val="32"/>
          <w:lang w:eastAsia="zh-CN"/>
        </w:rPr>
        <w:t>镇（街道）</w:t>
      </w:r>
      <w:r>
        <w:rPr>
          <w:rFonts w:ascii="Times New Roman" w:hAnsi="Times New Roman" w:eastAsia="仿宋_GB2312" w:cs="Times New Roman"/>
          <w:sz w:val="32"/>
          <w:szCs w:val="32"/>
        </w:rPr>
        <w:t>核心区等优先及重点开发区域，着力做大城市体量、提升城市能级、丰富城市内涵，培育建设物流集散和配送中心、健康医疗中心、文化科教中心以及商务服务中心，提高对人口、资源等要素的吸纳集聚能力。</w:t>
      </w:r>
      <w:r>
        <w:rPr>
          <w:rFonts w:ascii="Times New Roman" w:hAnsi="Times New Roman" w:eastAsia="仿宋_GB2312" w:cs="Times New Roman"/>
          <w:color w:val="000000"/>
          <w:sz w:val="32"/>
          <w:szCs w:val="32"/>
          <w:shd w:val="clear" w:color="auto" w:fill="FFFFFF"/>
        </w:rPr>
        <w:t>在镇村级工业园，加强“散乱污”工业企业整治，推动镇村级工业园招商选资，加快打造一批高质量的新型产业载体示范项目和现代产业社区。</w:t>
      </w:r>
      <w:r>
        <w:rPr>
          <w:rFonts w:ascii="Times New Roman" w:hAnsi="Times New Roman" w:eastAsia="仿宋_GB2312" w:cs="Times New Roman"/>
          <w:sz w:val="32"/>
          <w:szCs w:val="32"/>
        </w:rPr>
        <w:t>在农产品主产区、重点生态功能区以及禁止开发区域，实施有效促进人口转移政策等。合理引导资源供给紧张地区人口向低密度地区适度集聚，科学实现城市产业和居住空间布局。</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2" w:name="_Toc142666156"/>
      <w:r>
        <w:rPr>
          <w:rFonts w:ascii="Times New Roman" w:hAnsi="Times New Roman" w:eastAsia="仿宋_GB2312" w:cs="Times New Roman"/>
          <w:b/>
          <w:sz w:val="32"/>
          <w:szCs w:val="32"/>
        </w:rPr>
        <w:t>2.促进城乡居民融合发展</w:t>
      </w:r>
      <w:bookmarkEnd w:id="22"/>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优化转移人口户籍管理。</w:t>
      </w:r>
      <w:r>
        <w:rPr>
          <w:rFonts w:ascii="Times New Roman" w:hAnsi="Times New Roman" w:eastAsia="仿宋_GB2312"/>
          <w:color w:val="000000"/>
          <w:sz w:val="32"/>
          <w:szCs w:val="32"/>
          <w:shd w:val="clear" w:color="auto" w:fill="FFFFFF"/>
        </w:rPr>
        <w:t>坚持城乡统筹发展理念，以新型城镇化、乡村振兴为动力，加强协同发展。</w:t>
      </w:r>
      <w:r>
        <w:rPr>
          <w:rFonts w:ascii="Times New Roman" w:hAnsi="Times New Roman" w:eastAsia="仿宋_GB2312"/>
          <w:sz w:val="32"/>
          <w:szCs w:val="32"/>
        </w:rPr>
        <w:t>严格贯彻落实公安部、省公安厅、市公安局的户籍政策规定，增强部门协同，全面有序放开城乡户口迁移政策。完善城乡户籍“一元化”管理制度，落实城中村、城郊村和产业集聚区内的人口纳入城镇人口服务管理范围。完善流动人口居住证“一证通”制度，推动“公共资源随人走”，落实财政转移支付和城镇新增建设用地规模与农业转移人口市民化挂钩政策，稳定农民进城落户意愿，促进有能力在城镇稳定就业和生活的农业转移人口有序实现市民化。</w:t>
      </w:r>
    </w:p>
    <w:p>
      <w:pPr>
        <w:adjustRightInd w:val="0"/>
        <w:snapToGrid w:val="0"/>
        <w:spacing w:line="58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强化基本公共服务保障。</w:t>
      </w:r>
      <w:r>
        <w:rPr>
          <w:rFonts w:ascii="Times New Roman" w:hAnsi="Times New Roman" w:eastAsia="仿宋_GB2312" w:cs="Times New Roman"/>
          <w:color w:val="000000"/>
          <w:sz w:val="32"/>
          <w:szCs w:val="32"/>
          <w:shd w:val="clear" w:color="auto" w:fill="FFFFFF"/>
        </w:rPr>
        <w:t>进一步完善转移人口的权益保障机制、社会保障体系和公共服务网络。</w:t>
      </w:r>
      <w:r>
        <w:rPr>
          <w:rFonts w:ascii="Times New Roman" w:hAnsi="Times New Roman" w:eastAsia="仿宋_GB2312" w:cs="Times New Roman"/>
          <w:sz w:val="32"/>
          <w:szCs w:val="32"/>
        </w:rPr>
        <w:t>全面实施居住证制度，切实保障城镇基本公共服务常住人口全覆盖。持续增加公共服务内容，不断缩小居住证持证人与户籍人口之间的公共服务差距。加大农业转移人口及随迁子女教育、医疗、养老、住房和社保的保障力度，多方面开展配套政策试点，切实保障进城落户农业转移人口与城镇居民享有同等权利和义务。重点完善农业转移人口基本医疗卫生保障制度、异地务工人员随迁子女教育扶持政策及城乡劳动者平等就业制度等，为城乡居民融合发展提供良好环境。</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维护转移人口资产权益。</w:t>
      </w:r>
      <w:r>
        <w:rPr>
          <w:rFonts w:ascii="Times New Roman" w:hAnsi="Times New Roman" w:eastAsia="仿宋_GB2312" w:cs="Times New Roman"/>
          <w:sz w:val="32"/>
          <w:szCs w:val="32"/>
        </w:rPr>
        <w:t>贯彻落实省市农村产权制度改革相关规定，深化农村土地制度改革，完善农村土地所有权、承包权、经营权分置制度，建立健全农村产权流转市场体系，推动农村土地承包经营权有序流转。依法保障和维护进城落户农民在农村的土地承包权、宅基地使用权、集体收益分配权等权益。确保农民进城不以牺牲承包地、宅基地等财产权为代价，充分保障农民的各项权益不因居住地的迁徙、职业的改变而受到损害，促使有条件的农业转移人口放心落户城镇。</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3" w:name="_Toc142666157"/>
      <w:r>
        <w:rPr>
          <w:rFonts w:ascii="Times New Roman" w:hAnsi="Times New Roman" w:eastAsia="仿宋_GB2312" w:cs="Times New Roman"/>
          <w:b/>
          <w:sz w:val="32"/>
          <w:szCs w:val="32"/>
        </w:rPr>
        <w:t>3.加强流动人口管理服务</w:t>
      </w:r>
      <w:bookmarkEnd w:id="23"/>
    </w:p>
    <w:p>
      <w:pPr>
        <w:pStyle w:val="14"/>
        <w:adjustRightInd w:val="0"/>
        <w:snapToGrid w:val="0"/>
        <w:spacing w:line="580" w:lineRule="exact"/>
        <w:ind w:left="0" w:leftChars="0"/>
        <w:rPr>
          <w:rFonts w:ascii="Times New Roman" w:hAnsi="Times New Roman" w:eastAsia="仿宋_GB2312" w:cs="Times New Roman"/>
        </w:rPr>
      </w:pPr>
      <w:r>
        <w:rPr>
          <w:rFonts w:ascii="Times New Roman" w:hAnsi="Times New Roman" w:eastAsia="仿宋_GB2312" w:cs="Times New Roman"/>
          <w:kern w:val="0"/>
        </w:rPr>
        <w:t xml:space="preserve"> </w:t>
      </w:r>
      <w:r>
        <w:rPr>
          <w:rFonts w:ascii="Times New Roman" w:hAnsi="Times New Roman" w:eastAsia="仿宋_GB2312" w:cs="Times New Roman"/>
          <w:b/>
          <w:kern w:val="0"/>
        </w:rPr>
        <w:t xml:space="preserve"> 深化流动人口管理机制</w:t>
      </w:r>
      <w:r>
        <w:rPr>
          <w:rFonts w:ascii="Times New Roman" w:hAnsi="Times New Roman" w:eastAsia="仿宋_GB2312" w:cs="Times New Roman"/>
          <w:kern w:val="0"/>
        </w:rPr>
        <w:t>。切实落实流动人口治安管理责任，加强治安管控。强化入户排查，深入开展信息采集工作，组织警力按照“不漏户、不漏人、不漏项”的要求，对辖区出租房屋、建筑工地、公共娱乐场所等外来流动人口密集场所进行全面清理。详细采集身份信息、常住地址、暂住地点、工作单位等情况，全量录入业务平台，确保对辖区流动人口和出租屋做到底数清、情况明、管得住、服务好。发挥群防群治力量，及时收集上报务工返乡、外来流动人员，逐人落实管控民警、管控责任和管控措施，及时做好信息的登记、变更、注销。</w:t>
      </w:r>
    </w:p>
    <w:p>
      <w:pPr>
        <w:pStyle w:val="14"/>
        <w:adjustRightInd w:val="0"/>
        <w:snapToGrid w:val="0"/>
        <w:spacing w:line="580" w:lineRule="exact"/>
        <w:ind w:left="0" w:leftChars="0" w:firstLine="0" w:firstLineChars="0"/>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ascii="Times New Roman" w:hAnsi="Times New Roman" w:eastAsia="仿宋_GB2312" w:cs="Times New Roman"/>
          <w:b/>
          <w:kern w:val="0"/>
        </w:rPr>
        <w:t>落实流动人口服务保障</w:t>
      </w:r>
      <w:r>
        <w:rPr>
          <w:rFonts w:ascii="Times New Roman" w:hAnsi="Times New Roman" w:eastAsia="仿宋_GB2312" w:cs="Times New Roman"/>
          <w:kern w:val="0"/>
        </w:rPr>
        <w:t>。主动跟进服务，深化警民互动联系，用心排忧解难。加强流动人口管理服务点建设，配备足额的流动人口协管人员，综合开展日常登记、管理和教育工作，协助做好流动人口治安管理、计划生育、劳动就业等各项管理工作。建立流动人口治安管理经费保障机制，切实解决对流动人口管理工作中存在的实际问题。通过入户排查、发放宣传资料、进圈入群等方式开展流动人口管理、居住证申、消防安全、交通安全、防电信诈骗、防溺水等法律法规、安全防范知识宣传，引导其积极配合公安机关做好登记工作，增强归属感和认同感。</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4" w:name="_Toc142666158"/>
      <w:r>
        <w:rPr>
          <w:rFonts w:ascii="Times New Roman" w:hAnsi="Times New Roman" w:eastAsia="仿宋_GB2312" w:cs="Times New Roman"/>
          <w:b/>
          <w:sz w:val="32"/>
          <w:szCs w:val="32"/>
        </w:rPr>
        <w:t>4.促进人口绿色宜居发展</w:t>
      </w:r>
      <w:bookmarkEnd w:id="24"/>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sz w:val="32"/>
          <w:szCs w:val="32"/>
        </w:rPr>
        <w:t>实施人口绿色发展计划。</w:t>
      </w:r>
      <w:r>
        <w:rPr>
          <w:rFonts w:ascii="Times New Roman" w:hAnsi="Times New Roman" w:eastAsia="仿宋_GB2312"/>
          <w:sz w:val="32"/>
          <w:szCs w:val="32"/>
        </w:rPr>
        <w:t>全面推进环境友好型、资源节约型及人口均衡型社会建设，推动人口与资源环境协调发展。建立多渠道、多元化、多媒介的宣传方式，进行人口绿色发展理念宣传，推广低碳生活、生态消费、绿色消费、绿色出行等生活方式。实施城区生活垃圾分类管理，全面推进垃圾分类和减量化、资源化。大力发展绿色低碳经济，推进生态环境治理与生态旅游、休闲康养等产业融合发展，形成节约资源和保护环境的空间布局、产业结构。通过大数据、信息技术、物联网、云平台等高新技术助力城区人口生活绿色化。加强节约型机关建设，开展绿色社区、绿色出行、绿色学校、绿色建筑等开展绿色节能行动，在全社会形成健康文明的绿色文化风尚。</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改善城乡人居生态环境。</w:t>
      </w:r>
      <w:r>
        <w:rPr>
          <w:rFonts w:ascii="Times New Roman" w:hAnsi="Times New Roman" w:eastAsia="仿宋_GB2312" w:cs="Times New Roman"/>
          <w:sz w:val="32"/>
          <w:szCs w:val="32"/>
        </w:rPr>
        <w:t>按照资源环境承载力、现有开发强度和未来发展潜力，以密度分区引导人口和城市空间开发强度合理分布，营造疏密有致的城市空间形态和生态系统，塑造城市风貌。加快推进城市治理体系和治理能力现代化，优化城市生活环境，使城市更健康、更安全、更绿色、更宜居。巩固提升农村人居环境。落实老旧城区改造，提升居民居住环境。接续推进农村人居环境整治提升五年行动，牢牢守住村庄干净整洁底线，防止农村人居环境“脏乱差”反弹。深入开展村庄清洁行动，健全村庄保洁机制，落实村庄环境卫生常态化检查督促机制。巩固提升“厕所革命”，加强农村厕所管理和切实提高农村改厕质量，加快推进村内道路硬化、农村雨污分流项目建设。深入推进乡村绿化美化，鼓励各地因地制宜打造“四小园”，梯次创建美丽宜居村、特色精品村。</w:t>
      </w:r>
    </w:p>
    <w:p>
      <w:pPr>
        <w:pStyle w:val="2"/>
        <w:rPr>
          <w:rFonts w:ascii="Times New Roman" w:hAnsi="Times New Roman" w:cs="Times New Roman"/>
          <w:lang w:eastAsia="zh-CN"/>
        </w:rPr>
      </w:pPr>
    </w:p>
    <w:tbl>
      <w:tblPr>
        <w:tblStyle w:val="19"/>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shd w:val="clear" w:color="auto" w:fill="D0CECE" w:themeFill="background2" w:themeFillShade="E6"/>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专栏3-1 实施绿色宜居城区专项行动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城乡老旧小区危房改造。</w:t>
            </w:r>
            <w:r>
              <w:rPr>
                <w:rFonts w:ascii="Times New Roman" w:hAnsi="Times New Roman" w:eastAsia="仿宋_GB2312" w:cs="Times New Roman"/>
                <w:color w:val="000000"/>
                <w:sz w:val="28"/>
                <w:szCs w:val="28"/>
              </w:rPr>
              <w:t>落实《汕尾市城区老旧小区改造实施方案》，对东涌镇、捷胜镇等农村危房进行修缮加固和拆除重建，对凤山街道城镇老旧小区、香洲街道城镇老旧小区、东片区城镇老旧小区、西北片城镇老旧小区展开人居环境微改造和改造，通过停车场改建、道路、人行道、给排水管网、环境三化、五线整改以及老旧社区改造项目，提升养老、托育、托幼、家政、商业以及智慧社区等服务功能，打造宜居社区。</w:t>
            </w:r>
          </w:p>
          <w:p>
            <w:pPr>
              <w:spacing w:line="560" w:lineRule="exact"/>
              <w:ind w:firstLine="560" w:firstLineChars="200"/>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城区生态绿地建设。</w:t>
            </w:r>
            <w:r>
              <w:rPr>
                <w:rFonts w:ascii="Times New Roman" w:hAnsi="Times New Roman" w:eastAsia="仿宋_GB2312" w:cs="Times New Roman"/>
                <w:color w:val="000000"/>
                <w:sz w:val="28"/>
                <w:szCs w:val="28"/>
              </w:rPr>
              <w:t>大力推进城市绿化、园林景观、市政公共设施、民生保障、生态保护等城市重点工程建设，</w:t>
            </w:r>
            <w:r>
              <w:rPr>
                <w:rFonts w:hint="eastAsia" w:ascii="Times New Roman" w:hAnsi="Times New Roman" w:eastAsia="仿宋_GB2312" w:cs="Times New Roman"/>
                <w:color w:val="000000"/>
                <w:sz w:val="28"/>
                <w:szCs w:val="28"/>
                <w:lang w:eastAsia="zh-CN"/>
              </w:rPr>
              <w:t>加快推进</w:t>
            </w:r>
            <w:r>
              <w:rPr>
                <w:rFonts w:ascii="Times New Roman" w:hAnsi="Times New Roman" w:eastAsia="仿宋_GB2312" w:cs="Times New Roman"/>
                <w:color w:val="000000"/>
                <w:sz w:val="28"/>
                <w:szCs w:val="28"/>
              </w:rPr>
              <w:t xml:space="preserve">汕尾市城区万里碧道工程，增加城区绿地面积，增大公园绿地服务半径覆盖，为居民打造出门300 米见绿、500米见园的“绿色福利”。 </w:t>
            </w:r>
          </w:p>
          <w:p>
            <w:pPr>
              <w:spacing w:line="560" w:lineRule="exact"/>
              <w:ind w:firstLine="560" w:firstLineChars="200"/>
              <w:rPr>
                <w:rFonts w:ascii="Times New Roman" w:hAnsi="Times New Roman" w:eastAsia="仿宋_GB2312" w:cs="Times New Roman"/>
                <w:color w:val="000000"/>
                <w:sz w:val="24"/>
              </w:rPr>
            </w:pPr>
            <w:r>
              <w:rPr>
                <w:rFonts w:ascii="Times New Roman" w:hAnsi="Times New Roman" w:eastAsia="仿宋_GB2312" w:cs="Times New Roman"/>
                <w:b/>
                <w:color w:val="000000"/>
                <w:sz w:val="28"/>
                <w:szCs w:val="28"/>
              </w:rPr>
              <w:t>推进乡村振兴示范带建设。</w:t>
            </w:r>
            <w:r>
              <w:rPr>
                <w:rFonts w:ascii="Times New Roman" w:hAnsi="Times New Roman" w:eastAsia="仿宋_GB2312" w:cs="Times New Roman"/>
                <w:color w:val="000000"/>
                <w:sz w:val="28"/>
                <w:szCs w:val="28"/>
              </w:rPr>
              <w:t>聚焦“八个美丽”，全力推进城区乡村振兴示范带建设。加快推进北线“黄江画卷•水乡风情”、东线延伸段“花果原乡”两条乡村振兴示范带的建设进度。推进马宫街道“活力港廊”、红草镇“莲山丽水”、东涌镇“善品湖城”、捷胜镇“罾城新韵”4条乡村振兴示范带建设，逐步形成“串珠成链、连线成面、带带相连”的格局，全面形成农村风貌带，构建绿美乡村新格局。</w:t>
            </w:r>
          </w:p>
        </w:tc>
      </w:tr>
    </w:tbl>
    <w:p>
      <w:pPr>
        <w:pStyle w:val="2"/>
        <w:jc w:val="center"/>
        <w:rPr>
          <w:rFonts w:ascii="Times New Roman" w:hAnsi="Times New Roman" w:cs="Times New Roman"/>
          <w:lang w:eastAsia="zh-CN"/>
        </w:rPr>
      </w:pP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25" w:name="_Toc142666159"/>
      <w:r>
        <w:rPr>
          <w:rFonts w:ascii="Times New Roman" w:hAnsi="Times New Roman" w:eastAsia="楷体_GB2312" w:cs="Times New Roman"/>
          <w:sz w:val="32"/>
          <w:szCs w:val="32"/>
        </w:rPr>
        <w:t>（四）搭建成长平台，赋能人才有效供给</w:t>
      </w:r>
      <w:bookmarkEnd w:id="25"/>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 xml:space="preserve">聚焦社会经济发展与产业需求，搭建不同层次人才引进与培育平台，营造生机勃勃的人才发展环境。充分发挥的当地头部企业、产业联盟对高素质人才的吸引支撑作用，有效汇集行业力量，推进人力资源服务行业集聚、集约发展，深度融入，为城区实施高质量创新驱动发展战略提供人才支撑。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6" w:name="_Toc142666160"/>
      <w:r>
        <w:rPr>
          <w:rFonts w:ascii="Times New Roman" w:hAnsi="Times New Roman" w:eastAsia="仿宋_GB2312" w:cs="Times New Roman"/>
          <w:b/>
          <w:sz w:val="32"/>
          <w:szCs w:val="32"/>
        </w:rPr>
        <w:t>1.健全就业创业服务体系</w:t>
      </w:r>
      <w:bookmarkEnd w:id="26"/>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强化全方位公共就业服务。通过落实企业服务专员、线上线下招聘会、城区就业驿站、就业创业政策宣传等多种形式，畅通就业渠道，促进供需对接。围绕城区主导产业和教育、卫生、文化等公共服务领域“高精尖”人才需求，定期发布引才目录，加大高层次人才和高层次团队招引力度，促进人才链、产业链、资金链、技术链“四链合一”。积极探索扩增就业用工新模式,加强对灵活就业、新就业形态的支持力度，为劳动者实时提供就业岗位信息、就业创业政策咨询、职业技能培训、求职登记等公共就业服务，促进辖区内待业人员及农村富余劳动力实现就地就近就业、农村劳动力转移就业。实施大学生就业促进、创业引领、基层成长等计划，持续开展返乡创业活动，鼓励外出务工、经商人员返乡就业创业，精准做好政策宣传和就业服务，</w:t>
      </w:r>
      <w:r>
        <w:rPr>
          <w:rFonts w:ascii="Times New Roman" w:hAnsi="Times New Roman" w:eastAsia="仿宋_GB2312"/>
          <w:color w:val="000000"/>
          <w:sz w:val="32"/>
          <w:szCs w:val="32"/>
        </w:rPr>
        <w:t>推动创业载体市场化、专业化，为创业者提供低成本、便利化、全要素孵化服务。</w:t>
      </w:r>
      <w:r>
        <w:rPr>
          <w:rFonts w:ascii="Times New Roman" w:hAnsi="Times New Roman" w:eastAsia="仿宋_GB2312"/>
          <w:sz w:val="32"/>
          <w:szCs w:val="32"/>
        </w:rPr>
        <w:t xml:space="preserve">做好就业帮扶政策落实工作，切实抓好就业见习岗位、公益性岗位的开发与利用，发挥公益性岗位托底安置就业保障作用，帮扶有劳动能力和就业意愿的就业困难人员和建档卡贫困户精准就业，兜底民生保障。全面开展针对外来人口的职业测评、就业指导、技能培训，提供交通、食宿、就医等更为便捷周到的服务，积极保障外来人员劳动权益。 </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专栏4-1  实施就业创业促进行动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2"/>
              <w:spacing w:line="560" w:lineRule="exact"/>
              <w:ind w:left="108" w:firstLine="560" w:firstLineChars="200"/>
              <w:rPr>
                <w:rFonts w:ascii="Times New Roman" w:hAnsi="Times New Roman" w:eastAsia="仿宋_GB2312" w:cs="Times New Roman"/>
                <w:color w:val="000000"/>
                <w:kern w:val="2"/>
                <w:sz w:val="28"/>
                <w:szCs w:val="28"/>
                <w:lang w:eastAsia="zh-CN"/>
              </w:rPr>
            </w:pPr>
            <w:r>
              <w:rPr>
                <w:rFonts w:ascii="Times New Roman" w:hAnsi="Times New Roman" w:eastAsia="仿宋_GB2312" w:cs="Times New Roman"/>
                <w:b/>
                <w:color w:val="000000"/>
                <w:kern w:val="2"/>
                <w:sz w:val="28"/>
                <w:szCs w:val="28"/>
                <w:lang w:eastAsia="zh-CN"/>
              </w:rPr>
              <w:t>搭建平台，畅通就业对接渠道。</w:t>
            </w:r>
            <w:r>
              <w:rPr>
                <w:rFonts w:ascii="Times New Roman" w:hAnsi="Times New Roman" w:eastAsia="仿宋_GB2312" w:cs="Times New Roman"/>
                <w:color w:val="000000"/>
                <w:kern w:val="2"/>
                <w:sz w:val="28"/>
                <w:szCs w:val="28"/>
                <w:lang w:eastAsia="zh-CN"/>
              </w:rPr>
              <w:t>积极组织资源，做好“南粤春暖”、“遇见城区”等线下线上招聘会工作。结合城区就业驿站引领带动作用，实现企业招聘岗位和求职人员信息的精准匹配，广开就业门路，拓宽重点群体就业渠道，提高辖区企业招工的速度及效率，创新招聘模式，推动多形式灵活招工，保障企业用工和求职者求职。</w:t>
            </w:r>
          </w:p>
          <w:p>
            <w:pPr>
              <w:pStyle w:val="2"/>
              <w:spacing w:line="560" w:lineRule="exact"/>
              <w:ind w:left="108" w:firstLine="560" w:firstLineChars="200"/>
              <w:rPr>
                <w:rFonts w:ascii="Times New Roman" w:hAnsi="Times New Roman" w:eastAsia="仿宋_GB2312" w:cs="Times New Roman"/>
                <w:sz w:val="28"/>
                <w:szCs w:val="28"/>
                <w:lang w:eastAsia="zh-CN"/>
              </w:rPr>
            </w:pPr>
            <w:r>
              <w:rPr>
                <w:rFonts w:ascii="Times New Roman" w:hAnsi="Times New Roman" w:eastAsia="仿宋_GB2312" w:cs="Times New Roman"/>
                <w:b/>
                <w:color w:val="000000"/>
                <w:kern w:val="2"/>
                <w:sz w:val="28"/>
                <w:szCs w:val="28"/>
                <w:lang w:eastAsia="zh-CN"/>
              </w:rPr>
              <w:t>狠抓落实，用好就业帮扶政策。</w:t>
            </w:r>
            <w:r>
              <w:rPr>
                <w:rFonts w:ascii="Times New Roman" w:hAnsi="Times New Roman" w:eastAsia="仿宋_GB2312" w:cs="Times New Roman"/>
                <w:sz w:val="28"/>
                <w:szCs w:val="28"/>
                <w:lang w:eastAsia="zh-CN"/>
              </w:rPr>
              <w:t>做好就业帮扶政策落实工作，鼓励支持各类发展态势良好的企业申报认定就业见习单位，切实抓好就业见习岗位、公益性岗位的开发与利用。为高校毕业生、失业人员、就业困难人员提供倾斜性的就业岗位，鼓励引导重点就业群体、就业困难群体实现高质量就业，兜底民生保障。</w:t>
            </w:r>
          </w:p>
          <w:p>
            <w:pPr>
              <w:pStyle w:val="2"/>
              <w:spacing w:line="560" w:lineRule="exact"/>
              <w:ind w:left="108" w:firstLine="560" w:firstLineChars="200"/>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b/>
                <w:sz w:val="28"/>
                <w:szCs w:val="28"/>
                <w:lang w:eastAsia="zh-CN"/>
              </w:rPr>
              <w:t>扩大宣传，营造良好就业创业环境。</w:t>
            </w:r>
            <w:r>
              <w:rPr>
                <w:rFonts w:ascii="Times New Roman" w:hAnsi="Times New Roman" w:eastAsia="仿宋_GB2312" w:cs="Times New Roman"/>
                <w:sz w:val="28"/>
                <w:szCs w:val="28"/>
                <w:lang w:eastAsia="zh-CN"/>
              </w:rPr>
              <w:t>充分发挥城区东涌镇党群服务中心在全市首个“就业驿站”的引领作用,为劳动者实时提供就业岗位信息、就业创业政策咨询、职业技能培训、求职登记等公共就业服务。持续做好就业创业政策宣传工作，举办就业创业政策宣讲会、讲坛，拓展宣传平台媒介，创新宣传模式，充分运用各种媒体多形式开展政策宣传活动。进一步做好就业择业的指导工作，帮助各类劳动者树立正确的就业观念。</w:t>
            </w:r>
          </w:p>
        </w:tc>
      </w:tr>
    </w:tbl>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7" w:name="_Toc142666161"/>
      <w:r>
        <w:rPr>
          <w:rFonts w:ascii="Times New Roman" w:hAnsi="Times New Roman" w:eastAsia="仿宋_GB2312" w:cs="Times New Roman"/>
          <w:b/>
          <w:sz w:val="32"/>
          <w:szCs w:val="32"/>
        </w:rPr>
        <w:t>2.多元激活招才引智动能</w:t>
      </w:r>
      <w:bookmarkEnd w:id="27"/>
    </w:p>
    <w:p>
      <w:pPr>
        <w:pStyle w:val="15"/>
        <w:widowControl/>
        <w:adjustRightInd w:val="0"/>
        <w:snapToGrid w:val="0"/>
        <w:spacing w:line="580" w:lineRule="exact"/>
        <w:ind w:firstLine="640" w:firstLineChars="200"/>
        <w:jc w:val="both"/>
        <w:rPr>
          <w:rFonts w:hint="default" w:ascii="Times New Roman" w:hAnsi="Times New Roman" w:eastAsia="仿宋_GB2312"/>
          <w:sz w:val="32"/>
          <w:szCs w:val="32"/>
        </w:rPr>
      </w:pPr>
      <w:r>
        <w:rPr>
          <w:rFonts w:ascii="Times New Roman" w:hAnsi="Times New Roman" w:eastAsia="仿宋_GB2312"/>
          <w:b/>
          <w:bCs/>
          <w:sz w:val="32"/>
          <w:szCs w:val="32"/>
        </w:rPr>
        <w:t>培育</w:t>
      </w:r>
      <w:r>
        <w:rPr>
          <w:rFonts w:hint="default" w:ascii="Times New Roman" w:hAnsi="Times New Roman" w:eastAsia="仿宋_GB2312"/>
          <w:b/>
          <w:bCs/>
          <w:sz w:val="32"/>
          <w:szCs w:val="32"/>
        </w:rPr>
        <w:t>强企</w:t>
      </w:r>
      <w:r>
        <w:rPr>
          <w:rFonts w:ascii="Times New Roman" w:hAnsi="Times New Roman" w:eastAsia="仿宋_GB2312"/>
          <w:b/>
          <w:bCs/>
          <w:sz w:val="32"/>
          <w:szCs w:val="32"/>
        </w:rPr>
        <w:t>吸纳人才</w:t>
      </w:r>
      <w:r>
        <w:rPr>
          <w:rFonts w:hint="default" w:ascii="Times New Roman" w:hAnsi="Times New Roman" w:eastAsia="仿宋_GB2312"/>
          <w:bCs/>
          <w:sz w:val="32"/>
          <w:szCs w:val="32"/>
        </w:rPr>
        <w:t>。</w:t>
      </w:r>
      <w:r>
        <w:rPr>
          <w:rFonts w:hint="default" w:ascii="Times New Roman" w:hAnsi="Times New Roman" w:eastAsia="仿宋_GB2312"/>
          <w:sz w:val="32"/>
          <w:szCs w:val="32"/>
        </w:rPr>
        <w:t>加大力度实施科技型中小企业和高新技术企业培育专项行动。通过加强科技创新平台，聚集优秀科技人才、提升企业自主创新能力，激发人才创新活力。以规模做大、实力做强、结构做优为目标，通过引进、转型、提升等方式，重点引育一批创新能力强、科技含量高、主营业务突出、管理体系规范、成长性好的苗子企业，根据市场导向和企业需求，建立企业高技术人才需求库，推动专业技术职称人才的输入，加快形成企业资质不断提升、人才能力不断增强的相互促进的良好发展生态。</w:t>
      </w:r>
    </w:p>
    <w:p>
      <w:pPr>
        <w:pStyle w:val="15"/>
        <w:widowControl/>
        <w:adjustRightInd w:val="0"/>
        <w:snapToGrid w:val="0"/>
        <w:spacing w:line="58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b/>
          <w:bCs/>
          <w:sz w:val="32"/>
          <w:szCs w:val="32"/>
        </w:rPr>
        <w:t>盘活人力资源平台。</w:t>
      </w:r>
      <w:r>
        <w:rPr>
          <w:rFonts w:hint="default" w:ascii="Times New Roman" w:hAnsi="Times New Roman" w:eastAsia="仿宋_GB2312"/>
          <w:sz w:val="32"/>
          <w:szCs w:val="32"/>
        </w:rPr>
        <w:t>充分发挥汕尾“创新岛”的功能作用，聚焦全区电子信息、海洋装备、生物技术产业等高端人才紧缺、创新设备不足和科技成果供给能力不足等问题，从企业的发展需求出发，提供“创新岛”的平台资源，帮助企业对接深圳先进理念、高新技术等创新要素。推动全区省级实验室、省级工程中心技术研究中心、企业研究开发中心、新型研发机构、科技成果中试基地、各级孵化器、众创空间、加速器等各类平台建设。发挥现有各类孵化育成平台作用，尤其是借助汕尾高新区的孵化育成平台作用，鼓励引导孵化机构以人才服务、人才队伍建设、人才培育与引进为宗旨，打造人才队伍与创新人才集聚生态。</w:t>
      </w:r>
    </w:p>
    <w:p>
      <w:pPr>
        <w:pStyle w:val="15"/>
        <w:widowControl/>
        <w:adjustRightInd w:val="0"/>
        <w:snapToGrid w:val="0"/>
        <w:spacing w:line="580" w:lineRule="exact"/>
        <w:ind w:firstLine="640" w:firstLineChars="200"/>
        <w:jc w:val="both"/>
        <w:rPr>
          <w:rFonts w:hint="default" w:ascii="Times New Roman" w:hAnsi="Times New Roman" w:eastAsia="仿宋_GB2312"/>
          <w:sz w:val="32"/>
          <w:szCs w:val="32"/>
          <w:lang w:val="zh-CN" w:bidi="zh-CN"/>
        </w:rPr>
      </w:pPr>
      <w:r>
        <w:rPr>
          <w:rFonts w:hint="default" w:ascii="Times New Roman" w:hAnsi="Times New Roman" w:eastAsia="仿宋_GB2312"/>
          <w:b/>
          <w:bCs/>
          <w:sz w:val="32"/>
          <w:szCs w:val="32"/>
        </w:rPr>
        <w:t>实施人才引育服务。</w:t>
      </w:r>
      <w:r>
        <w:rPr>
          <w:rFonts w:hint="default" w:ascii="Times New Roman" w:hAnsi="Times New Roman" w:eastAsia="仿宋_GB2312"/>
          <w:sz w:val="32"/>
          <w:szCs w:val="32"/>
        </w:rPr>
        <w:t>密切联系市级部门，联动市区两级做好人才培训工作。通过采取组织各种技术培训等，优化全区科技企业技术人才结构。做好人才培育和引进工作。探索开展校企联合招生、联合培养人才试点，拓展校企合作育人的途径与方式；完善以企业为主体、职业院校为基础、学校教育与企业培养紧密联系、政府推动与社会支持相结合的高技能人才培养培训体系。</w:t>
      </w:r>
    </w:p>
    <w:p>
      <w:pPr>
        <w:pStyle w:val="6"/>
        <w:adjustRightInd w:val="0"/>
        <w:spacing w:line="560" w:lineRule="exact"/>
        <w:ind w:firstLine="0" w:firstLineChars="0"/>
        <w:jc w:val="left"/>
        <w:outlineLvl w:val="9"/>
        <w:rPr>
          <w:rFonts w:eastAsia="方正小标宋简体"/>
          <w:color w:val="000000"/>
        </w:rPr>
      </w:pPr>
      <w:r>
        <w:rPr>
          <w:rFonts w:eastAsia="仿宋_GB2312"/>
          <w:b/>
          <w:sz w:val="32"/>
          <w:szCs w:val="32"/>
        </w:rPr>
        <w:t xml:space="preserve">    项目铸就人才集聚。</w:t>
      </w:r>
      <w:r>
        <w:rPr>
          <w:rFonts w:eastAsia="仿宋_GB2312"/>
          <w:sz w:val="32"/>
          <w:szCs w:val="32"/>
        </w:rPr>
        <w:t>坚持将人才培养与实施重大科技专项相结合，在电子信息、海洋生物等重点发展领域全链条引进培养产业人才，打造具有比较优势的产业人才队伍。充分发挥省、市重大科技专项的统筹引导作用，引进创新科研团队和领军人才，打造一条以“引进高层次人才”带动“本地人才培育”的育才路线。开展“揭榜挂帅”活动，推动高校、科研院所创新人才资源向企业汇聚。积极推进五丰、国泰、德昌等大型企业与高校、科研院所开展重大项目合作，实施关键技术攻关，打造一批特色鲜明的产业人才集聚区，以产业链带动人才链，以产业集群催生人才集聚。</w:t>
      </w:r>
    </w:p>
    <w:p>
      <w:pPr>
        <w:pStyle w:val="15"/>
        <w:widowControl/>
        <w:adjustRightInd w:val="0"/>
        <w:snapToGrid w:val="0"/>
        <w:spacing w:line="580" w:lineRule="exact"/>
        <w:ind w:firstLine="640" w:firstLineChars="200"/>
        <w:jc w:val="both"/>
        <w:rPr>
          <w:rFonts w:hint="default" w:ascii="Times New Roman" w:hAnsi="Times New Roman" w:eastAsia="仿宋_GB2312"/>
          <w:kern w:val="2"/>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专栏4-2  实施高质量招才引智行动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2"/>
              <w:spacing w:line="560" w:lineRule="exact"/>
              <w:ind w:left="108"/>
              <w:rPr>
                <w:rFonts w:ascii="Times New Roman" w:hAnsi="Times New Roman" w:eastAsia="仿宋_GB2312" w:cs="Times New Roman"/>
                <w:color w:val="000000"/>
                <w:kern w:val="2"/>
                <w:sz w:val="28"/>
                <w:szCs w:val="28"/>
                <w:lang w:eastAsia="zh-CN"/>
              </w:rPr>
            </w:pPr>
            <w:r>
              <w:rPr>
                <w:rFonts w:ascii="Times New Roman" w:hAnsi="Times New Roman" w:eastAsia="仿宋_GB2312" w:cs="Times New Roman"/>
                <w:color w:val="000000"/>
                <w:kern w:val="2"/>
                <w:sz w:val="24"/>
                <w:szCs w:val="22"/>
                <w:lang w:eastAsia="zh-CN"/>
              </w:rPr>
              <w:t xml:space="preserve">   </w:t>
            </w:r>
            <w:r>
              <w:rPr>
                <w:rFonts w:ascii="Times New Roman" w:hAnsi="Times New Roman" w:eastAsia="仿宋_GB2312" w:cs="Times New Roman"/>
                <w:b/>
                <w:color w:val="000000"/>
                <w:kern w:val="2"/>
                <w:sz w:val="28"/>
                <w:szCs w:val="28"/>
                <w:lang w:eastAsia="zh-CN"/>
              </w:rPr>
              <w:t xml:space="preserve"> </w:t>
            </w:r>
            <w:r>
              <w:rPr>
                <w:rFonts w:ascii="Times New Roman" w:hAnsi="Times New Roman" w:eastAsia="仿宋_GB2312" w:cs="Times New Roman"/>
                <w:color w:val="000000"/>
                <w:kern w:val="2"/>
                <w:sz w:val="28"/>
                <w:szCs w:val="28"/>
                <w:lang w:eastAsia="zh-CN"/>
              </w:rPr>
              <w:t>牢固树立“人才是第一资源”的思想，围绕解决影响和制约科技发展和自主创新中人才工作的突出问题，搭建创新平台，整合科技服务资源，完善机制，进一步强化科技人才工作，为城区实施创新驱动发展战略提供智力支撑。</w:t>
            </w:r>
          </w:p>
          <w:p>
            <w:pPr>
              <w:pStyle w:val="2"/>
              <w:spacing w:line="560" w:lineRule="exact"/>
              <w:ind w:left="108"/>
              <w:rPr>
                <w:rFonts w:ascii="Times New Roman" w:hAnsi="Times New Roman" w:eastAsia="仿宋_GB2312" w:cs="Times New Roman"/>
                <w:color w:val="000000"/>
                <w:sz w:val="28"/>
                <w:szCs w:val="28"/>
                <w:lang w:eastAsia="zh-CN"/>
              </w:rPr>
            </w:pPr>
            <w:r>
              <w:rPr>
                <w:rFonts w:ascii="Times New Roman" w:hAnsi="Times New Roman" w:eastAsia="仿宋_GB2312" w:cs="Times New Roman"/>
                <w:b/>
                <w:color w:val="000000"/>
                <w:kern w:val="2"/>
                <w:sz w:val="28"/>
                <w:szCs w:val="28"/>
                <w:lang w:eastAsia="zh-CN"/>
              </w:rPr>
              <w:t xml:space="preserve">    </w:t>
            </w:r>
            <w:r>
              <w:rPr>
                <w:rFonts w:ascii="Times New Roman" w:hAnsi="Times New Roman" w:eastAsia="仿宋_GB2312" w:cs="Times New Roman"/>
                <w:b/>
                <w:color w:val="000000"/>
                <w:sz w:val="28"/>
                <w:szCs w:val="28"/>
                <w:lang w:eastAsia="zh-CN"/>
              </w:rPr>
              <w:t>加强科技平台创建。</w:t>
            </w:r>
            <w:r>
              <w:rPr>
                <w:rFonts w:ascii="Times New Roman" w:hAnsi="Times New Roman" w:eastAsia="仿宋_GB2312" w:cs="Times New Roman"/>
                <w:color w:val="000000"/>
                <w:sz w:val="28"/>
                <w:szCs w:val="28"/>
                <w:lang w:eastAsia="zh-CN"/>
              </w:rPr>
              <w:t>坚持把加强科技创新平台建设作为聚集优秀科技人才、提升企业自主创新能力的重要抓手，积极深入企业开展宣传调研，从企业知识产权获取、科技成果转化、人才团队建设等方面加以指导培育，引导企业搭建自主创新平台，激发人才创新活力，提升“造血”功能。</w:t>
            </w:r>
          </w:p>
          <w:p>
            <w:pPr>
              <w:pStyle w:val="2"/>
              <w:spacing w:line="560" w:lineRule="exact"/>
              <w:ind w:left="108" w:firstLine="560" w:firstLineChars="200"/>
              <w:rPr>
                <w:rFonts w:ascii="Times New Roman" w:hAnsi="Times New Roman" w:eastAsia="仿宋_GB2312" w:cs="Times New Roman"/>
                <w:color w:val="000000"/>
                <w:sz w:val="28"/>
                <w:szCs w:val="28"/>
                <w:lang w:eastAsia="zh-CN"/>
              </w:rPr>
            </w:pPr>
            <w:r>
              <w:rPr>
                <w:rFonts w:ascii="Times New Roman" w:hAnsi="Times New Roman" w:eastAsia="仿宋_GB2312" w:cs="Times New Roman"/>
                <w:b/>
                <w:color w:val="000000"/>
                <w:sz w:val="28"/>
                <w:szCs w:val="28"/>
                <w:lang w:eastAsia="zh-CN"/>
              </w:rPr>
              <w:t>开展“揭榜挂帅”活动。</w:t>
            </w:r>
            <w:r>
              <w:rPr>
                <w:rFonts w:ascii="Times New Roman" w:hAnsi="Times New Roman" w:eastAsia="仿宋_GB2312" w:cs="Times New Roman"/>
                <w:color w:val="000000"/>
                <w:sz w:val="28"/>
                <w:szCs w:val="28"/>
                <w:lang w:eastAsia="zh-CN"/>
              </w:rPr>
              <w:t>针对企业技术需求，开展“揭榜挂帅”活动，推动高校、科研院所创新人才资源向企业汇聚。广泛征集科技企业技术需求，联合市科技局将企业技术需求发布网上，征集科研团队帮助破解企业“卡脖子”技术难题，实现联合技术攻关。</w:t>
            </w:r>
          </w:p>
          <w:p>
            <w:pPr>
              <w:pStyle w:val="2"/>
              <w:spacing w:line="560" w:lineRule="exact"/>
              <w:ind w:left="108" w:firstLine="560" w:firstLineChars="200"/>
              <w:rPr>
                <w:rFonts w:ascii="Times New Roman" w:hAnsi="Times New Roman" w:eastAsia="仿宋_GB2312" w:cs="Times New Roman"/>
                <w:color w:val="000000"/>
                <w:sz w:val="28"/>
                <w:szCs w:val="28"/>
                <w:lang w:eastAsia="zh-CN"/>
              </w:rPr>
            </w:pPr>
            <w:r>
              <w:rPr>
                <w:rFonts w:ascii="Times New Roman" w:hAnsi="Times New Roman" w:eastAsia="仿宋_GB2312" w:cs="Times New Roman"/>
                <w:b/>
                <w:color w:val="000000"/>
                <w:sz w:val="28"/>
                <w:szCs w:val="28"/>
                <w:lang w:eastAsia="zh-CN"/>
              </w:rPr>
              <w:t>推动重大科技专项开展。</w:t>
            </w:r>
            <w:r>
              <w:rPr>
                <w:rFonts w:ascii="Times New Roman" w:hAnsi="Times New Roman" w:eastAsia="仿宋_GB2312" w:cs="Times New Roman"/>
                <w:color w:val="000000"/>
                <w:sz w:val="28"/>
                <w:szCs w:val="28"/>
                <w:lang w:eastAsia="zh-CN"/>
              </w:rPr>
              <w:t>坚持将人才培养与实施重大科技专项相结合，充分发挥省、市重大科技专项的统筹引导作用，引领企业围绕自身经营发展方向，开展产学研合作，引进创新科研团队和领军人才，强化科技研发，开展新工艺、新品种、新设备等核心关键技术攻关</w:t>
            </w:r>
          </w:p>
          <w:p>
            <w:pPr>
              <w:pStyle w:val="2"/>
              <w:spacing w:line="560" w:lineRule="exact"/>
              <w:ind w:left="108" w:firstLine="560" w:firstLineChars="200"/>
              <w:rPr>
                <w:rFonts w:ascii="Times New Roman" w:hAnsi="Times New Roman" w:cs="Times New Roman"/>
                <w:sz w:val="24"/>
                <w:szCs w:val="24"/>
                <w:lang w:eastAsia="zh-CN"/>
              </w:rPr>
            </w:pPr>
            <w:r>
              <w:rPr>
                <w:rFonts w:ascii="Times New Roman" w:hAnsi="Times New Roman" w:eastAsia="仿宋_GB2312" w:cs="Times New Roman"/>
                <w:b/>
                <w:color w:val="000000"/>
                <w:sz w:val="28"/>
                <w:szCs w:val="28"/>
                <w:lang w:eastAsia="zh-CN"/>
              </w:rPr>
              <w:t>组织开展企业人才培训。</w:t>
            </w:r>
            <w:r>
              <w:rPr>
                <w:rFonts w:ascii="Times New Roman" w:hAnsi="Times New Roman" w:eastAsia="仿宋_GB2312" w:cs="Times New Roman"/>
                <w:color w:val="000000"/>
                <w:sz w:val="28"/>
                <w:szCs w:val="28"/>
                <w:lang w:eastAsia="zh-CN"/>
              </w:rPr>
              <w:t>坚持以人为本、尊重劳动、尊重人才，紧紧抓住培养、吸引、用好人才三大环节，坚持“科研技术人才精专发展+服务经管人才提升发展”的人才培育理念，开展惠企政策宣讲会、企业资质提升辅导培训会、创新创业大赛发动培训会、人才代表座谈会、电商业务专题培训会、管理能力提升培训班等，帮助企业了解政策、享受政策，为企业搭建经验分享平台。</w:t>
            </w:r>
          </w:p>
        </w:tc>
      </w:tr>
    </w:tbl>
    <w:p>
      <w:pPr>
        <w:pStyle w:val="15"/>
        <w:widowControl/>
        <w:adjustRightInd w:val="0"/>
        <w:snapToGrid w:val="0"/>
        <w:spacing w:line="580" w:lineRule="exact"/>
        <w:ind w:firstLine="640" w:firstLineChars="200"/>
        <w:jc w:val="both"/>
        <w:rPr>
          <w:rFonts w:hint="default" w:ascii="Times New Roman" w:hAnsi="Times New Roman" w:eastAsia="仿宋_GB2312"/>
          <w:kern w:val="2"/>
          <w:sz w:val="32"/>
          <w:szCs w:val="32"/>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8" w:name="_Toc142666162"/>
      <w:r>
        <w:rPr>
          <w:rFonts w:ascii="Times New Roman" w:hAnsi="Times New Roman" w:eastAsia="仿宋_GB2312" w:cs="Times New Roman"/>
          <w:b/>
          <w:sz w:val="32"/>
          <w:szCs w:val="32"/>
        </w:rPr>
        <w:t>3.提升职业技能培训帮扶</w:t>
      </w:r>
      <w:bookmarkEnd w:id="28"/>
      <w:r>
        <w:rPr>
          <w:rFonts w:ascii="Times New Roman" w:hAnsi="Times New Roman" w:eastAsia="仿宋_GB2312" w:cs="Times New Roman"/>
          <w:b/>
          <w:sz w:val="32"/>
          <w:szCs w:val="32"/>
        </w:rPr>
        <w:t xml:space="preserve"> </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围绕城区电子信息、海洋装备、生物技术等主导产业和教育、卫生、文化等公共服务领域人才需求，组织技能大师评选，努力打造技能拔尖、技艺精湛的技师队伍。实施职业技能提升行动，提高劳动力素质和技能水平。开展企业职工技能提升培训和转岗转业培训，组织高校毕业生、农民工、退役军人、残疾人等参加技能培训和创业培训。深化产教融合、校企合作，全面推行企业新型学徒制。开展职业技能线上培训和以工代训，增强补贴技能培训的可及度和惠及面，提升职业技能培训基础能力和基地建设。</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29" w:name="_Toc142666163"/>
      <w:r>
        <w:rPr>
          <w:rFonts w:ascii="Times New Roman" w:hAnsi="Times New Roman" w:eastAsia="仿宋_GB2312" w:cs="Times New Roman"/>
          <w:b/>
          <w:sz w:val="32"/>
          <w:szCs w:val="32"/>
        </w:rPr>
        <w:t>4.优化人才培育发展环境</w:t>
      </w:r>
      <w:bookmarkEnd w:id="29"/>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sz w:val="32"/>
          <w:szCs w:val="32"/>
        </w:rPr>
        <w:t>开辟引进人才绿色通道</w:t>
      </w:r>
      <w:r>
        <w:rPr>
          <w:rFonts w:ascii="Times New Roman" w:hAnsi="Times New Roman" w:eastAsia="仿宋_GB2312"/>
          <w:sz w:val="32"/>
          <w:szCs w:val="32"/>
        </w:rPr>
        <w:t xml:space="preserve">。畅通各类人才流动渠道，为优秀人才干事创业创造良好环境。建立吸引高素质人才流入留住机制，完成“三支一扶”高校毕业生招募任务，制定促进高校毕业生就业创业政策，做好大学毕业生档案接收管理工作。建立“一窗受理、集中办理、专员服务、全程跟踪”人才综合服务机制，完善“人才+资本”创业投融资体系。进一步创新人才流动、人才落户、人才安居、创业支持等支持政策，鼓励人才集聚的企事业单位、开发区建设人才公寓等配套服务设施，着力解决高层次人才医疗、配偶安置、子女入学等实际问题。 </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sz w:val="32"/>
          <w:szCs w:val="32"/>
        </w:rPr>
        <w:t>设立人才创新创业基金。</w:t>
      </w:r>
      <w:r>
        <w:rPr>
          <w:rFonts w:ascii="Times New Roman" w:hAnsi="Times New Roman" w:eastAsia="仿宋_GB2312"/>
          <w:sz w:val="32"/>
          <w:szCs w:val="32"/>
        </w:rPr>
        <w:t xml:space="preserve">支持当地头部企业设立院士工作站、博士后科研工作站及博士后创新实践基地，引导优秀博士后向科技创新企业流动，加大对科技创新人才支持力度，吸引珠三角地区高层次人才来区进站工作。健全创新激励和保障机制，构建充分体现知识、技术等创新要素价值的收益分配机制。深化科技成果使用权、处置权、收益权改革，开展赋予科研人员职务科技成果所有权或长期使用权试点工作。改进科研人才薪酬制度，完善高层次、高技能人才特殊津贴制度。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0" w:name="_Toc142666164"/>
      <w:r>
        <w:rPr>
          <w:rFonts w:ascii="Times New Roman" w:hAnsi="Times New Roman" w:eastAsia="仿宋_GB2312" w:cs="Times New Roman"/>
          <w:b/>
          <w:sz w:val="32"/>
          <w:szCs w:val="32"/>
        </w:rPr>
        <w:t>5.营造青年优先发展氛围</w:t>
      </w:r>
      <w:bookmarkEnd w:id="30"/>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加快建设全国青年发展型县域试点城市，着力提升城市能级，激发青年奋进力量，充分发挥青年生力军和突击队作用，推动城区与有为青年双向奔赴、共同成长。实施人才强区、青春智治、安心护航、文化引领四大工程，结合百千万工程创新推出青年品牌项目，在就业创业、住房租房、婚恋交友、心理健康及法制教育等方面为青年提供服务。持续关注青年就业问题，鼓励支持各类发展态势良好的企业申报认定就业见习单位，开发优质就业见习岗位，吸纳离校两年内未就业高校毕业生和16至24岁失业青年参加见习。落实残疾青年、贫困家庭青年、进城务工青年等服务保障政策。加强青年志愿服务体系建设，引导青年有序参与政治生活和社会公共事务。提升青年健康水平，充分发挥12355青少年综合服务平台作用。发挥侨乡优势，开展港澳侨青年交流活动。实施红色革命文化、优秀传统文化传承发展行动，优化青年文化环境。全面建设“青年发展型城区”，形成具有城区特色的青年发展政策体系和工作机制。</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31" w:name="_Toc142666165"/>
      <w:r>
        <w:rPr>
          <w:rFonts w:ascii="Times New Roman" w:hAnsi="Times New Roman" w:eastAsia="楷体_GB2312" w:cs="Times New Roman"/>
          <w:sz w:val="32"/>
          <w:szCs w:val="32"/>
        </w:rPr>
        <w:t>（五）关爱重点人群，共享社会发展成果</w:t>
      </w:r>
      <w:bookmarkEnd w:id="31"/>
    </w:p>
    <w:p>
      <w:pPr>
        <w:pStyle w:val="14"/>
        <w:adjustRightInd w:val="0"/>
        <w:snapToGrid w:val="0"/>
        <w:spacing w:line="580" w:lineRule="exact"/>
        <w:ind w:left="0" w:leftChars="0" w:firstLine="0" w:firstLineChars="0"/>
        <w:rPr>
          <w:rFonts w:ascii="Times New Roman" w:hAnsi="Times New Roman" w:eastAsia="仿宋_GB2312" w:cs="Times New Roman"/>
        </w:rPr>
      </w:pPr>
      <w:r>
        <w:rPr>
          <w:rFonts w:ascii="Times New Roman" w:hAnsi="Times New Roman" w:eastAsia="仿宋_GB2312" w:cs="Times New Roman"/>
        </w:rPr>
        <w:t xml:space="preserve">    聚焦妇女儿童、未成年人、苦难群众、残疾人士、退役军人、脱贫人口等特殊群体在政治、经济、文化、社会和家庭生活各方面的权益，着力完善重点人群生活发展相关政策及配套服务，使人民获得感、幸福感、安全感更加充实、更有保障、更可持续，确保增进民生福祉、共享发展成果。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2" w:name="_Toc142666166"/>
      <w:r>
        <w:rPr>
          <w:rFonts w:ascii="Times New Roman" w:hAnsi="Times New Roman" w:eastAsia="仿宋_GB2312" w:cs="Times New Roman"/>
          <w:b/>
          <w:sz w:val="32"/>
          <w:szCs w:val="32"/>
        </w:rPr>
        <w:t>1.促进妇女健康全面发展</w:t>
      </w:r>
      <w:bookmarkEnd w:id="32"/>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关注妇女发展权益。</w:t>
      </w:r>
      <w:r>
        <w:rPr>
          <w:rFonts w:ascii="Times New Roman" w:hAnsi="Times New Roman" w:eastAsia="仿宋_GB2312" w:cs="Times New Roman"/>
          <w:color w:val="000000"/>
          <w:sz w:val="32"/>
          <w:szCs w:val="32"/>
        </w:rPr>
        <w:t>坚持男女平等基本国策，推进妇女与经济社会同步协调发展，</w:t>
      </w:r>
      <w:r>
        <w:rPr>
          <w:rFonts w:ascii="Times New Roman" w:hAnsi="Times New Roman" w:eastAsia="仿宋_GB2312" w:cs="Times New Roman"/>
          <w:sz w:val="32"/>
          <w:szCs w:val="32"/>
        </w:rPr>
        <w:t>保障妇女在政治、经济、文化、社会和家庭生活各方面的权益，</w:t>
      </w:r>
      <w:r>
        <w:rPr>
          <w:rFonts w:ascii="Times New Roman" w:hAnsi="Times New Roman" w:eastAsia="仿宋_GB2312" w:cs="Times New Roman"/>
          <w:color w:val="000000"/>
          <w:sz w:val="32"/>
          <w:szCs w:val="32"/>
          <w:shd w:val="clear" w:color="auto" w:fill="FFFFFF"/>
        </w:rPr>
        <w:t>重点围绕健康管理、就业创业、教育培训、法律援助等需求，开展妇女权益维护专项行动和常态化的有效服务。</w:t>
      </w:r>
      <w:r>
        <w:rPr>
          <w:rFonts w:ascii="Times New Roman" w:hAnsi="Times New Roman" w:eastAsia="仿宋_GB2312" w:cs="Times New Roman"/>
          <w:sz w:val="32"/>
          <w:szCs w:val="32"/>
        </w:rPr>
        <w:t>加强妇女创业就业政策支持，鼓励用人单位消除就业隐形歧视，保障从业女性的就业安全和稳定性。</w:t>
      </w:r>
      <w:r>
        <w:rPr>
          <w:rFonts w:ascii="Times New Roman" w:hAnsi="Times New Roman" w:eastAsia="仿宋_GB2312" w:cs="Times New Roman"/>
          <w:color w:val="000000"/>
          <w:sz w:val="32"/>
          <w:szCs w:val="32"/>
          <w:shd w:val="clear" w:color="auto" w:fill="FFFFFF"/>
        </w:rPr>
        <w:t>加大对农村妇女、残疾妇女、流动妇女、中老年妇女、少数民族妇女、生活困难妇女的帮扶力度，健全关爱服务体系。</w:t>
      </w:r>
      <w:r>
        <w:rPr>
          <w:rFonts w:ascii="Times New Roman" w:hAnsi="Times New Roman" w:eastAsia="仿宋_GB2312" w:cs="Times New Roman"/>
          <w:sz w:val="32"/>
          <w:szCs w:val="32"/>
        </w:rPr>
        <w:t>严厉打击家庭暴力、拐卖妇女、未充分保障孕期、哺乳期妇女休息权益、孕产妇生育信息被泄露和滥用等违法犯罪行为。</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提高妇女健康养护。</w:t>
      </w:r>
      <w:r>
        <w:rPr>
          <w:rFonts w:ascii="Times New Roman" w:hAnsi="Times New Roman" w:eastAsia="仿宋_GB2312" w:cs="Times New Roman"/>
          <w:sz w:val="32"/>
          <w:szCs w:val="32"/>
        </w:rPr>
        <w:t>全面落实妊娠风险筛查与评估、高危孕产妇专案管理、危急重症救治、孕产妇死亡个案报告和约谈通报等母婴安全五项制度。实施妇幼健康保障工程，促进生殖健康服务融入妇女健康管理全过程。加强妇女保健特色专科服务能力建设，加大妇女常见病防治力度，提高医疗保健机构宫颈癌、乳腺癌筛查能力。提供规范的青春期、育龄期、孕产期、更年期和老年期妇女生殖保健服务，有针对性地解决妇女特殊生理期的健康问题。提高妇女自我保护意识和选择科学合理避孕方式的能力，预防和控制非意愿妊娠和人工流产。加强孕产妇健康管理，提高孕期健康、产后访视及健康指导服务，多渠道向孕产妇提供生育全过程的基本医疗保健服务。</w:t>
      </w:r>
    </w:p>
    <w:p>
      <w:pPr>
        <w:pStyle w:val="2"/>
        <w:rPr>
          <w:rFonts w:ascii="Times New Roman" w:hAnsi="Times New Roman" w:cs="Times New Roman"/>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专栏5-1  实施妇幼安康保障行动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2"/>
              <w:spacing w:line="560" w:lineRule="exact"/>
              <w:ind w:left="108"/>
              <w:rPr>
                <w:rFonts w:ascii="Times New Roman" w:hAnsi="Times New Roman" w:eastAsia="仿宋_GB2312" w:cs="Times New Roman"/>
                <w:color w:val="000000"/>
                <w:kern w:val="2"/>
                <w:sz w:val="28"/>
                <w:szCs w:val="28"/>
                <w:lang w:eastAsia="zh-CN"/>
              </w:rPr>
            </w:pPr>
            <w:r>
              <w:rPr>
                <w:rFonts w:ascii="Times New Roman" w:hAnsi="Times New Roman" w:eastAsia="仿宋_GB2312" w:cs="Times New Roman"/>
                <w:b/>
                <w:kern w:val="2"/>
                <w:sz w:val="24"/>
                <w:szCs w:val="22"/>
                <w:lang w:eastAsia="zh-CN"/>
              </w:rPr>
              <w:t xml:space="preserve">    </w:t>
            </w:r>
            <w:r>
              <w:rPr>
                <w:rFonts w:ascii="Times New Roman" w:hAnsi="Times New Roman" w:eastAsia="仿宋_GB2312" w:cs="Times New Roman"/>
                <w:b/>
                <w:kern w:val="2"/>
                <w:sz w:val="28"/>
                <w:szCs w:val="28"/>
                <w:lang w:eastAsia="zh-CN"/>
              </w:rPr>
              <w:t>强化孕产期保健集中管理。</w:t>
            </w:r>
            <w:r>
              <w:rPr>
                <w:rFonts w:ascii="Times New Roman" w:hAnsi="Times New Roman" w:eastAsia="仿宋_GB2312" w:cs="Times New Roman"/>
                <w:color w:val="000000"/>
                <w:kern w:val="2"/>
                <w:sz w:val="28"/>
                <w:szCs w:val="28"/>
                <w:lang w:eastAsia="zh-CN"/>
              </w:rPr>
              <w:t>加快实施妇幼健康保护工程，推进妇幼保健机构标准化建设和规范化管理，推进全区孕产期保健集中管理，加强对全区内所有孕产妇建档、孕产期保健、妊娠风险评估、高危妊娠管理、危重症转诊等集中管理工作。</w:t>
            </w:r>
          </w:p>
          <w:p>
            <w:pPr>
              <w:pStyle w:val="2"/>
              <w:spacing w:line="560" w:lineRule="exact"/>
              <w:ind w:left="108"/>
              <w:rPr>
                <w:rFonts w:ascii="Times New Roman" w:hAnsi="Times New Roman" w:eastAsia="仿宋_GB2312" w:cs="Times New Roman"/>
                <w:color w:val="000000"/>
                <w:kern w:val="2"/>
                <w:sz w:val="28"/>
                <w:szCs w:val="28"/>
                <w:lang w:eastAsia="zh-CN"/>
              </w:rPr>
            </w:pPr>
            <w:r>
              <w:rPr>
                <w:rFonts w:ascii="Times New Roman" w:hAnsi="Times New Roman" w:eastAsia="仿宋_GB2312" w:cs="Times New Roman"/>
                <w:color w:val="000000"/>
                <w:kern w:val="2"/>
                <w:sz w:val="28"/>
                <w:szCs w:val="28"/>
                <w:lang w:eastAsia="zh-CN"/>
              </w:rPr>
              <w:t xml:space="preserve">    </w:t>
            </w:r>
            <w:r>
              <w:rPr>
                <w:rFonts w:ascii="Times New Roman" w:hAnsi="Times New Roman" w:eastAsia="仿宋_GB2312" w:cs="Times New Roman"/>
                <w:b/>
                <w:color w:val="000000"/>
                <w:kern w:val="2"/>
                <w:sz w:val="28"/>
                <w:szCs w:val="28"/>
                <w:lang w:eastAsia="zh-CN"/>
              </w:rPr>
              <w:t>落实母婴安全五项制度。</w:t>
            </w:r>
            <w:r>
              <w:rPr>
                <w:rFonts w:ascii="Times New Roman" w:hAnsi="Times New Roman" w:eastAsia="仿宋_GB2312" w:cs="Times New Roman"/>
                <w:color w:val="000000"/>
                <w:kern w:val="2"/>
                <w:sz w:val="28"/>
                <w:szCs w:val="28"/>
                <w:lang w:eastAsia="zh-CN"/>
              </w:rPr>
              <w:t>落实妊娠风险筛查评估、高位专案管理、危急重症救治、孕产妇死亡个案报告和约谈通报五项制度。加强孕产妇分级、分类管理。</w:t>
            </w:r>
          </w:p>
          <w:p>
            <w:pPr>
              <w:pStyle w:val="2"/>
              <w:spacing w:line="560" w:lineRule="exact"/>
              <w:ind w:left="108"/>
              <w:rPr>
                <w:rFonts w:ascii="Times New Roman" w:hAnsi="Times New Roman" w:eastAsia="仿宋_GB2312" w:cs="Times New Roman"/>
                <w:color w:val="000000"/>
                <w:kern w:val="2"/>
                <w:sz w:val="28"/>
                <w:szCs w:val="28"/>
                <w:lang w:eastAsia="zh-CN"/>
              </w:rPr>
            </w:pPr>
            <w:r>
              <w:rPr>
                <w:rFonts w:ascii="Times New Roman" w:hAnsi="Times New Roman" w:eastAsia="仿宋_GB2312" w:cs="Times New Roman"/>
                <w:color w:val="000000"/>
                <w:kern w:val="2"/>
                <w:sz w:val="28"/>
                <w:szCs w:val="28"/>
                <w:lang w:eastAsia="zh-CN"/>
              </w:rPr>
              <w:t xml:space="preserve">    </w:t>
            </w:r>
            <w:r>
              <w:rPr>
                <w:rFonts w:ascii="Times New Roman" w:hAnsi="Times New Roman" w:eastAsia="仿宋_GB2312" w:cs="Times New Roman"/>
                <w:b/>
                <w:color w:val="000000"/>
                <w:kern w:val="2"/>
                <w:sz w:val="28"/>
                <w:szCs w:val="28"/>
                <w:lang w:eastAsia="zh-CN"/>
              </w:rPr>
              <w:t>强化危急重症救治。</w:t>
            </w:r>
            <w:r>
              <w:rPr>
                <w:rFonts w:ascii="Times New Roman" w:hAnsi="Times New Roman" w:eastAsia="仿宋_GB2312" w:cs="Times New Roman"/>
                <w:color w:val="000000"/>
                <w:kern w:val="2"/>
                <w:sz w:val="28"/>
                <w:szCs w:val="28"/>
                <w:lang w:eastAsia="zh-CN"/>
              </w:rPr>
              <w:t>完善三级危重孕产妇、新生儿救治体系和能力建设，完善各级危中孕产妇、危重新生儿救治中心网络建设，健全救治会诊、转诊等机制，提升危急重症救治能力。孕产妇和新生儿按规定参加基本医疗保险、大病保险、并按规定享受相关待遇，符合条件的可享受医疗救助待遇。</w:t>
            </w:r>
          </w:p>
          <w:p>
            <w:pPr>
              <w:pStyle w:val="2"/>
              <w:spacing w:line="560" w:lineRule="exact"/>
              <w:ind w:left="108"/>
              <w:rPr>
                <w:rFonts w:ascii="Times New Roman" w:hAnsi="Times New Roman" w:eastAsia="仿宋_GB2312" w:cs="Times New Roman"/>
                <w:color w:val="000000"/>
                <w:kern w:val="2"/>
                <w:sz w:val="24"/>
                <w:szCs w:val="22"/>
                <w:lang w:eastAsia="zh-CN"/>
              </w:rPr>
            </w:pPr>
            <w:r>
              <w:rPr>
                <w:rFonts w:ascii="Times New Roman" w:hAnsi="Times New Roman" w:eastAsia="仿宋_GB2312" w:cs="Times New Roman"/>
                <w:color w:val="000000"/>
                <w:kern w:val="2"/>
                <w:sz w:val="28"/>
                <w:szCs w:val="28"/>
                <w:lang w:eastAsia="zh-CN"/>
              </w:rPr>
              <w:t xml:space="preserve">   </w:t>
            </w:r>
            <w:r>
              <w:rPr>
                <w:rFonts w:ascii="Times New Roman" w:hAnsi="Times New Roman" w:eastAsia="仿宋_GB2312" w:cs="Times New Roman"/>
                <w:b/>
                <w:color w:val="000000"/>
                <w:kern w:val="2"/>
                <w:sz w:val="28"/>
                <w:szCs w:val="28"/>
                <w:lang w:eastAsia="zh-CN"/>
              </w:rPr>
              <w:t>加强高质量产科建设。</w:t>
            </w:r>
            <w:r>
              <w:rPr>
                <w:rFonts w:ascii="Times New Roman" w:hAnsi="Times New Roman" w:eastAsia="仿宋_GB2312" w:cs="Times New Roman"/>
                <w:color w:val="000000"/>
                <w:kern w:val="2"/>
                <w:sz w:val="28"/>
                <w:szCs w:val="28"/>
                <w:lang w:eastAsia="zh-CN"/>
              </w:rPr>
              <w:t>加快逸挥基金医院等龙头医院在全区优质医疗服务提升方面的引领作用，建设胸痛中心、卒中中心、创伤中心、危重孕产妇救治中心、危重儿童和新生儿救治中心“五大救治中心”，提供优质住院分娩、救治条件。</w:t>
            </w:r>
          </w:p>
        </w:tc>
      </w:tr>
    </w:tbl>
    <w:p>
      <w:pPr>
        <w:pStyle w:val="2"/>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3" w:name="_Toc142666167"/>
      <w:r>
        <w:rPr>
          <w:rFonts w:ascii="Times New Roman" w:hAnsi="Times New Roman" w:eastAsia="仿宋_GB2312" w:cs="Times New Roman"/>
          <w:b/>
          <w:sz w:val="32"/>
          <w:szCs w:val="32"/>
        </w:rPr>
        <w:t>2.实施未成年人保护计划</w:t>
      </w:r>
      <w:bookmarkEnd w:id="33"/>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Cs/>
          <w:sz w:val="32"/>
          <w:szCs w:val="32"/>
        </w:rPr>
        <w:t>建设</w:t>
      </w:r>
      <w:r>
        <w:rPr>
          <w:rFonts w:ascii="Times New Roman" w:hAnsi="Times New Roman" w:eastAsia="仿宋_GB2312"/>
          <w:bCs/>
          <w:kern w:val="2"/>
          <w:sz w:val="32"/>
          <w:szCs w:val="32"/>
        </w:rPr>
        <w:t>未成年人关爱体系，逐步推进</w:t>
      </w:r>
      <w:r>
        <w:rPr>
          <w:rFonts w:ascii="Times New Roman" w:hAnsi="Times New Roman" w:eastAsia="仿宋_GB2312"/>
          <w:sz w:val="32"/>
          <w:szCs w:val="32"/>
        </w:rPr>
        <w:t>健全多层次社会保障体系、健全分层分类的社会救助体系、儿童合法权益、促进青少年更好成长等工作。保护儿童健康成长，完善普惠性儿童福利体系，重点关注困境儿童、进城务工人员随迁子女和农村留守儿童的发展。完善在基本生活保障、教育、医疗康复等方面政策措施，创造更加和谐友好的儿童发展环境。启动建设危重儿童和新生儿救治中心，构建儿童心理健康教育和服务体系，关注未成年人心理健康，加强未成年人心理健康辅导站建设。把握“5</w:t>
      </w:r>
      <w:r>
        <w:rPr>
          <w:rFonts w:ascii="Times New Roman" w:hAnsi="Times New Roman" w:eastAsia="微软雅黑"/>
          <w:sz w:val="32"/>
          <w:szCs w:val="32"/>
        </w:rPr>
        <w:t>•</w:t>
      </w:r>
      <w:r>
        <w:rPr>
          <w:rFonts w:ascii="Times New Roman" w:hAnsi="Times New Roman" w:eastAsia="仿宋_GB2312"/>
          <w:sz w:val="32"/>
          <w:szCs w:val="32"/>
        </w:rPr>
        <w:t xml:space="preserve">25心理健康日”节点等关键节点，组织开展心理健康系列主题活动。全面完成城区孤儿、事实无人抚养儿童基本生活养育标准的提标工作，逐步提高城区孤儿基本生活最低养育标准。支持儿童劳动教育、自然教育、课外实践、科技体验、素质拓展等校外活动场所设施建设。支持城市街区、道路、社区及学校、医疗机构、公园、图书馆、绿地等公共空间和公共设施适儿化改造等。完善儿童健康服务体系，预防和控制儿童疾病，减少儿童死亡和严重出生缺陷发生，有效控制儿童肥胖和近视，实施学龄前儿童营养改善计划。 </w:t>
      </w:r>
    </w:p>
    <w:p>
      <w:pPr>
        <w:pStyle w:val="2"/>
        <w:rPr>
          <w:rFonts w:ascii="Times New Roman" w:hAnsi="Times New Roman" w:cs="Times New Roman"/>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专栏5-2  实施未成年人关爱行动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16"/>
              <w:shd w:val="clear" w:color="auto" w:fill="FFFFFF"/>
              <w:adjustRightInd w:val="0"/>
              <w:snapToGrid w:val="0"/>
              <w:spacing w:beforeAutospacing="0" w:afterAutospacing="0" w:line="560" w:lineRule="exact"/>
              <w:ind w:firstLine="643"/>
              <w:jc w:val="both"/>
              <w:rPr>
                <w:rFonts w:ascii="Times New Roman" w:hAnsi="Times New Roman" w:eastAsia="仿宋_GB2312"/>
                <w:sz w:val="28"/>
                <w:szCs w:val="28"/>
              </w:rPr>
            </w:pPr>
            <w:r>
              <w:rPr>
                <w:rFonts w:ascii="Times New Roman" w:hAnsi="Times New Roman" w:eastAsia="仿宋_GB2312"/>
                <w:b/>
                <w:bCs/>
                <w:sz w:val="28"/>
                <w:szCs w:val="28"/>
              </w:rPr>
              <w:t>加强未成年人德育建设。</w:t>
            </w:r>
            <w:r>
              <w:rPr>
                <w:rFonts w:ascii="Times New Roman" w:hAnsi="Times New Roman" w:eastAsia="仿宋_GB2312"/>
                <w:sz w:val="28"/>
                <w:szCs w:val="28"/>
              </w:rPr>
              <w:t>通过开展入团、入队仪式，红色影视配音大赛、红色故事宣讲活动等，</w:t>
            </w:r>
            <w:r>
              <w:rPr>
                <w:rFonts w:ascii="Times New Roman" w:hAnsi="Times New Roman" w:eastAsia="仿宋_GB2312"/>
                <w:bCs/>
                <w:sz w:val="28"/>
                <w:szCs w:val="28"/>
              </w:rPr>
              <w:t>丰富未成年人思想道德建设教育实践活动形式，</w:t>
            </w:r>
            <w:r>
              <w:rPr>
                <w:rFonts w:ascii="Times New Roman" w:hAnsi="Times New Roman" w:eastAsia="仿宋_GB2312"/>
                <w:sz w:val="28"/>
                <w:szCs w:val="28"/>
              </w:rPr>
              <w:t>引领广大青少年提升政治思想道德素养，充分彰显青春活力，释放青春魅力。</w:t>
            </w:r>
            <w:r>
              <w:rPr>
                <w:rFonts w:ascii="Times New Roman" w:hAnsi="Times New Roman" w:eastAsia="仿宋_GB2312"/>
                <w:bCs/>
                <w:sz w:val="28"/>
                <w:szCs w:val="28"/>
              </w:rPr>
              <w:t>注重选树典型，发挥榜样的引领和辐射作用。通过</w:t>
            </w:r>
            <w:r>
              <w:rPr>
                <w:rFonts w:ascii="Times New Roman" w:hAnsi="Times New Roman" w:eastAsia="仿宋_GB2312"/>
                <w:sz w:val="28"/>
                <w:szCs w:val="28"/>
              </w:rPr>
              <w:t>动员各领域各行业发掘优秀青少年代表参与“两红两优”评选、“最美南粤少年”、“最美汕尾少年”、“最美城区少年”等系列活动，深入挖掘和宣传城区青少年先进典型，广泛学习宣传推广，营造英雄就在身边、榜样与我同行的浓厚氛围，充分发挥榜样的示范引领作用，在全社会营造促进青少年健康成长的良好环境。</w:t>
            </w:r>
          </w:p>
          <w:p>
            <w:pPr>
              <w:widowControl/>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b/>
                <w:bCs/>
                <w:sz w:val="28"/>
                <w:szCs w:val="28"/>
              </w:rPr>
              <w:t>维护未成年人合法权益。</w:t>
            </w:r>
            <w:r>
              <w:rPr>
                <w:rFonts w:ascii="Times New Roman" w:hAnsi="Times New Roman" w:eastAsia="仿宋_GB2312" w:cs="Times New Roman"/>
                <w:bCs/>
                <w:kern w:val="0"/>
                <w:sz w:val="28"/>
                <w:szCs w:val="28"/>
              </w:rPr>
              <w:t>做好未成年人保护法律宣传。</w:t>
            </w:r>
            <w:r>
              <w:rPr>
                <w:rFonts w:ascii="Times New Roman" w:hAnsi="Times New Roman" w:eastAsia="仿宋_GB2312" w:cs="Times New Roman"/>
                <w:kern w:val="0"/>
                <w:sz w:val="28"/>
                <w:szCs w:val="28"/>
              </w:rPr>
              <w:t>积极主动与中小学、基层镇（街道）、村（社区）展开联系对接，通过线上线下结合，多渠道宣传《家庭教育促进法》、《未成年人保护法》。</w:t>
            </w:r>
            <w:r>
              <w:rPr>
                <w:rFonts w:ascii="Times New Roman" w:hAnsi="Times New Roman" w:eastAsia="仿宋_GB2312" w:cs="Times New Roman"/>
                <w:bCs/>
                <w:sz w:val="28"/>
                <w:szCs w:val="28"/>
              </w:rPr>
              <w:t>积极对接助学项目，</w:t>
            </w:r>
            <w:r>
              <w:rPr>
                <w:rFonts w:ascii="Times New Roman" w:hAnsi="Times New Roman" w:eastAsia="仿宋_GB2312" w:cs="Times New Roman"/>
                <w:sz w:val="28"/>
                <w:szCs w:val="28"/>
              </w:rPr>
              <w:t>关爱特殊少年儿童、留守儿童，帮扶困难家庭青年学子圆上学梦和升学梦。</w:t>
            </w:r>
          </w:p>
          <w:p>
            <w:pPr>
              <w:widowControl/>
              <w:adjustRightInd w:val="0"/>
              <w:snapToGrid w:val="0"/>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提升青少年受教育水平。</w:t>
            </w:r>
            <w:r>
              <w:rPr>
                <w:rFonts w:ascii="Times New Roman" w:hAnsi="Times New Roman" w:eastAsia="仿宋_GB2312" w:cs="Times New Roman"/>
                <w:sz w:val="28"/>
                <w:szCs w:val="28"/>
              </w:rPr>
              <w:t>在青少年中开展各类科普教育和群众性科技创新活动；利用区党群服务中心、新时代文明实践中心（站、所）、青年之家开展青少年校外教育项目；在各镇（街道）建设少先队校外实践基地。利用校外实践基地及活动项目，全方位提升青少年教育质量，为家庭教育、青少年健康成长奠定良好基础。</w:t>
            </w:r>
            <w:r>
              <w:rPr>
                <w:rFonts w:ascii="Times New Roman" w:hAnsi="Times New Roman" w:eastAsia="仿宋_GB2312" w:cs="Times New Roman"/>
                <w:bCs/>
                <w:sz w:val="28"/>
                <w:szCs w:val="28"/>
              </w:rPr>
              <w:t>开展活动提高青少年创新创造能力</w:t>
            </w:r>
            <w:r>
              <w:rPr>
                <w:rFonts w:ascii="Times New Roman" w:hAnsi="Times New Roman" w:eastAsia="仿宋_GB2312" w:cs="Times New Roman"/>
                <w:bCs/>
                <w:sz w:val="28"/>
                <w:szCs w:val="28"/>
                <w:lang w:val="zh-CN"/>
              </w:rPr>
              <w:t>，</w:t>
            </w:r>
            <w:r>
              <w:rPr>
                <w:rFonts w:ascii="Times New Roman" w:hAnsi="Times New Roman" w:eastAsia="仿宋_GB2312" w:cs="Times New Roman"/>
                <w:sz w:val="28"/>
                <w:szCs w:val="28"/>
              </w:rPr>
              <w:t>让青少年在展现自我的过程中提升全方位综合能力，为城区青少年传承非遗文化创造条件和氛围，提升城区青少年的文化生活品质。</w:t>
            </w:r>
          </w:p>
          <w:p>
            <w:pPr>
              <w:adjustRightInd w:val="0"/>
              <w:snapToGrid w:val="0"/>
              <w:spacing w:line="560" w:lineRule="exact"/>
              <w:ind w:firstLine="560" w:firstLineChars="200"/>
              <w:rPr>
                <w:rFonts w:ascii="Times New Roman" w:hAnsi="Times New Roman" w:eastAsia="仿宋_GB2312" w:cs="Times New Roman"/>
                <w:sz w:val="32"/>
                <w:szCs w:val="32"/>
              </w:rPr>
            </w:pPr>
            <w:r>
              <w:rPr>
                <w:rFonts w:ascii="Times New Roman" w:hAnsi="Times New Roman" w:eastAsia="仿宋_GB2312" w:cs="Times New Roman"/>
                <w:b/>
                <w:bCs/>
                <w:sz w:val="28"/>
                <w:szCs w:val="28"/>
              </w:rPr>
              <w:t>预防青少年违法犯罪。</w:t>
            </w:r>
            <w:r>
              <w:rPr>
                <w:rFonts w:ascii="Times New Roman" w:hAnsi="Times New Roman" w:eastAsia="仿宋_GB2312" w:cs="Times New Roman"/>
                <w:bCs/>
                <w:sz w:val="28"/>
                <w:szCs w:val="28"/>
              </w:rPr>
              <w:t>普及青少年法律知识。</w:t>
            </w:r>
            <w:r>
              <w:rPr>
                <w:rFonts w:ascii="Times New Roman" w:hAnsi="Times New Roman" w:eastAsia="仿宋_GB2312" w:cs="Times New Roman"/>
                <w:sz w:val="28"/>
                <w:szCs w:val="28"/>
              </w:rPr>
              <w:t>线上线下有针对性</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开展《预防未成年人犯罪法》《禁毒法》等与青少年密切相关的法律法规宣传教育，通过青少年喜闻乐见、生动活泼的互动形式，普及、丰富青少年的法律知识，提高青少年的法律素质，增强青少年的法制观念；推进“平安校园”工作，培养学生“学法、知法、守法、用法”的意识，提升学生自我保护、预防违法犯罪的能力。</w:t>
            </w:r>
            <w:r>
              <w:rPr>
                <w:rFonts w:ascii="Times New Roman" w:hAnsi="Times New Roman" w:eastAsia="仿宋_GB2312" w:cs="Times New Roman"/>
                <w:bCs/>
                <w:sz w:val="28"/>
                <w:szCs w:val="28"/>
              </w:rPr>
              <w:t>强化未成年人法治教育</w:t>
            </w:r>
            <w:r>
              <w:rPr>
                <w:rFonts w:ascii="Times New Roman" w:hAnsi="Times New Roman" w:eastAsia="仿宋_GB2312" w:cs="Times New Roman"/>
                <w:sz w:val="28"/>
                <w:szCs w:val="28"/>
              </w:rPr>
              <w:t>。举办各类未成年人法治主题宣传教育活动，增强未成年人法治意识。</w:t>
            </w:r>
            <w:r>
              <w:rPr>
                <w:rFonts w:ascii="Times New Roman" w:hAnsi="Times New Roman" w:eastAsia="仿宋_GB2312" w:cs="Times New Roman"/>
                <w:kern w:val="0"/>
                <w:sz w:val="28"/>
                <w:szCs w:val="28"/>
              </w:rPr>
              <w:t>建立青少年零犯罪零受害村（社区）试点、青少年安全教育阵地。做好青少年禁毒工作</w:t>
            </w:r>
            <w:r>
              <w:rPr>
                <w:rFonts w:ascii="Times New Roman" w:hAnsi="Times New Roman" w:eastAsia="仿宋_GB2312" w:cs="Times New Roman"/>
                <w:sz w:val="28"/>
                <w:szCs w:val="28"/>
              </w:rPr>
              <w:t>，切实增强青少年识毒拒毒禁毒能力，营造全社会关注、支持、参与青少年禁毒工作的浓厚氛围。</w:t>
            </w:r>
          </w:p>
        </w:tc>
      </w:tr>
    </w:tbl>
    <w:p>
      <w:pPr>
        <w:pStyle w:val="2"/>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4" w:name="_Toc142666168"/>
      <w:r>
        <w:rPr>
          <w:rFonts w:ascii="Times New Roman" w:hAnsi="Times New Roman" w:eastAsia="仿宋_GB2312" w:cs="Times New Roman"/>
          <w:b/>
          <w:sz w:val="32"/>
          <w:szCs w:val="32"/>
        </w:rPr>
        <w:t>3.强化困难群众社会救助</w:t>
      </w:r>
      <w:bookmarkEnd w:id="34"/>
    </w:p>
    <w:p>
      <w:pPr>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立足社会救助制度基础性、兜底性功能定位，以基本生活救助、专项社会救助、急难社会救助为主体，社会力量共同参与为补充，建立健全分层分类的社会救助体系。通过最低生活保障、特困人员救助供养、孤儿生活保障等救助，保障困难群众的基本生活。执行省民政厅市民政局制定的城乡低保最低标准及特困供养标准，逐步提高提高城乡低保标准和补差水平，提高城乡特困人员供养标准及特困人员照料护理标准。通过专项社会救助，保障困难群众的医疗、教育、住房、就业等权益。通过急难社会救助，切实解决生活陷入困境的家庭或个人的突发性、紧迫性临时生活困难。落实各项社会救助政策。全面落实落细民政社会救助政策，做好低保对象、特困人员救助供养，加大临时救助力度。</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5" w:name="_Toc142666169"/>
      <w:r>
        <w:rPr>
          <w:rFonts w:ascii="Times New Roman" w:hAnsi="Times New Roman" w:eastAsia="仿宋_GB2312" w:cs="Times New Roman"/>
          <w:b/>
          <w:sz w:val="32"/>
          <w:szCs w:val="32"/>
        </w:rPr>
        <w:t>4.加强残疾群体关爱互助</w:t>
      </w:r>
      <w:bookmarkEnd w:id="35"/>
    </w:p>
    <w:p>
      <w:pPr>
        <w:pStyle w:val="36"/>
        <w:wordWrap/>
        <w:adjustRightInd w:val="0"/>
        <w:snapToGrid w:val="0"/>
        <w:spacing w:line="580" w:lineRule="exact"/>
        <w:ind w:firstLine="0" w:firstLineChars="0"/>
        <w:jc w:val="both"/>
        <w:rPr>
          <w:rStyle w:val="39"/>
          <w:rFonts w:ascii="Times New Roman" w:hAnsi="Times New Roman"/>
          <w:szCs w:val="32"/>
        </w:rPr>
      </w:pPr>
      <w:r>
        <w:rPr>
          <w:rStyle w:val="38"/>
          <w:rFonts w:ascii="Times New Roman" w:hAnsi="Times New Roman" w:eastAsia="仿宋_GB2312"/>
          <w:b/>
          <w:szCs w:val="32"/>
        </w:rPr>
        <w:t xml:space="preserve">    为残疾人提供康复支持。</w:t>
      </w:r>
      <w:r>
        <w:rPr>
          <w:rStyle w:val="39"/>
          <w:rFonts w:ascii="Times New Roman" w:hAnsi="Times New Roman"/>
          <w:szCs w:val="32"/>
        </w:rPr>
        <w:t>通过0-6周岁残疾儿童康复救助、0-6周岁聋儿人工耳蜗手术补助、残疾儿童术后康复训练补助、免费发放辅助器具等方式为残疾人开展康复</w:t>
      </w:r>
      <w:r>
        <w:rPr>
          <w:rFonts w:ascii="Times New Roman" w:hAnsi="Times New Roman"/>
          <w:szCs w:val="32"/>
        </w:rPr>
        <w:t>服务，尽力为残疾人提供康复支持。</w:t>
      </w:r>
      <w:r>
        <w:rPr>
          <w:rStyle w:val="38"/>
          <w:rFonts w:ascii="Times New Roman" w:hAnsi="Times New Roman" w:eastAsia="仿宋_GB2312"/>
          <w:szCs w:val="32"/>
        </w:rPr>
        <w:t>推进残疾人家庭无障碍改造。</w:t>
      </w:r>
      <w:r>
        <w:rPr>
          <w:rFonts w:ascii="Times New Roman" w:hAnsi="Times New Roman"/>
          <w:szCs w:val="32"/>
        </w:rPr>
        <w:t>根据残疾人需求，为符合改造条件且同意改造的困难重度残疾人的家庭环境进行无障碍改造，包括地面整改、设施改造、辅具配置等，解决残疾人日常生活中的特殊困难和需求，提高生活质量</w:t>
      </w:r>
      <w:r>
        <w:rPr>
          <w:rStyle w:val="38"/>
          <w:rFonts w:ascii="Times New Roman" w:hAnsi="Times New Roman" w:eastAsia="仿宋_GB2312"/>
          <w:szCs w:val="32"/>
        </w:rPr>
        <w:t>。促进残疾人教育公平融合发展。</w:t>
      </w:r>
      <w:r>
        <w:rPr>
          <w:rStyle w:val="39"/>
          <w:rFonts w:ascii="Times New Roman" w:hAnsi="Times New Roman"/>
          <w:szCs w:val="32"/>
        </w:rPr>
        <w:t>实施南粤扶残助学工程。为残疾大学生申请南粤扶残助学工程助学金，进一步保帮助残疾人大学生顺利完成高等教育，更好地融入社会，共享改革发展成果。跟踪调查残疾人大学生就业情况。针对已毕业的残疾人大学生，通过电话访问等形式逐一了解就业情况，核实就业状态，建立“一人一档一策”。</w:t>
      </w:r>
    </w:p>
    <w:p>
      <w:pPr>
        <w:pStyle w:val="36"/>
        <w:wordWrap/>
        <w:adjustRightInd w:val="0"/>
        <w:snapToGrid w:val="0"/>
        <w:spacing w:line="580" w:lineRule="exact"/>
        <w:ind w:firstLine="643"/>
        <w:rPr>
          <w:rStyle w:val="39"/>
          <w:rFonts w:ascii="Times New Roman" w:hAnsi="Times New Roman"/>
          <w:szCs w:val="32"/>
        </w:rPr>
      </w:pPr>
      <w:r>
        <w:rPr>
          <w:rStyle w:val="38"/>
          <w:rFonts w:ascii="Times New Roman" w:hAnsi="Times New Roman" w:eastAsia="仿宋_GB2312"/>
          <w:b/>
          <w:szCs w:val="32"/>
        </w:rPr>
        <w:t>推动残疾人就业工作。</w:t>
      </w:r>
      <w:r>
        <w:rPr>
          <w:rFonts w:ascii="Times New Roman" w:hAnsi="Times New Roman"/>
          <w:color w:val="000000"/>
          <w:szCs w:val="32"/>
          <w:shd w:val="clear" w:color="auto" w:fill="FFFFFF"/>
        </w:rPr>
        <w:t>健全残疾人就业创业体系，对有劳动能力和就业意愿的残疾人提供免费就业创业服务。</w:t>
      </w:r>
      <w:r>
        <w:rPr>
          <w:rStyle w:val="38"/>
          <w:rFonts w:ascii="Times New Roman" w:hAnsi="Times New Roman" w:eastAsia="仿宋_GB2312"/>
          <w:szCs w:val="32"/>
        </w:rPr>
        <w:t>积极组织开展</w:t>
      </w:r>
      <w:r>
        <w:rPr>
          <w:rStyle w:val="39"/>
          <w:rFonts w:ascii="Times New Roman" w:hAnsi="Times New Roman"/>
          <w:szCs w:val="32"/>
        </w:rPr>
        <w:t>残疾人扫盲与职业技能培训班，为残疾人就业和提高劳动技能提供技术指导，不断提升残疾人的文化水平和谋生能力。落实按比例安排残疾人就业年审，</w:t>
      </w:r>
      <w:r>
        <w:rPr>
          <w:rFonts w:ascii="Times New Roman" w:hAnsi="Times New Roman"/>
          <w:szCs w:val="32"/>
        </w:rPr>
        <w:t>促进企事业单位聘用残疾人就业</w:t>
      </w:r>
      <w:r>
        <w:rPr>
          <w:rStyle w:val="39"/>
          <w:rFonts w:ascii="Times New Roman" w:hAnsi="Times New Roman"/>
          <w:szCs w:val="32"/>
        </w:rPr>
        <w:t>，对安排残疾人按比例就业年审的用人单位通过现场查看、电话调查等方式进行回访，保护残疾人就业的合法权益。</w:t>
      </w:r>
    </w:p>
    <w:p>
      <w:pPr>
        <w:pStyle w:val="36"/>
        <w:wordWrap/>
        <w:adjustRightInd w:val="0"/>
        <w:snapToGrid w:val="0"/>
        <w:spacing w:line="580" w:lineRule="exact"/>
        <w:ind w:firstLine="643"/>
        <w:jc w:val="both"/>
        <w:rPr>
          <w:rFonts w:ascii="Times New Roman" w:hAnsi="Times New Roman"/>
          <w:szCs w:val="32"/>
        </w:rPr>
      </w:pPr>
      <w:r>
        <w:rPr>
          <w:rStyle w:val="38"/>
          <w:rFonts w:ascii="Times New Roman" w:hAnsi="Times New Roman" w:eastAsia="仿宋_GB2312"/>
          <w:b/>
          <w:szCs w:val="32"/>
        </w:rPr>
        <w:t>做好残疾人社会保障。</w:t>
      </w:r>
      <w:r>
        <w:rPr>
          <w:rFonts w:ascii="Times New Roman" w:hAnsi="Times New Roman"/>
          <w:szCs w:val="32"/>
        </w:rPr>
        <w:t>加强民政、人社、医保等部门信息共享，确保</w:t>
      </w:r>
      <w:r>
        <w:rPr>
          <w:rStyle w:val="39"/>
          <w:rFonts w:ascii="Times New Roman" w:hAnsi="Times New Roman"/>
          <w:szCs w:val="32"/>
        </w:rPr>
        <w:t>残疾人“两项补贴”、基本医疗保险资助参保和基本养老保险资助参保等惠残政策落到实处。资助重度和非重度智力、精神残疾人基本医疗保险继续参保。</w:t>
      </w:r>
      <w:r>
        <w:rPr>
          <w:rStyle w:val="38"/>
          <w:rFonts w:ascii="Times New Roman" w:hAnsi="Times New Roman" w:eastAsia="仿宋_GB2312"/>
          <w:szCs w:val="32"/>
        </w:rPr>
        <w:t>提升政务服务水平，</w:t>
      </w:r>
      <w:r>
        <w:rPr>
          <w:rStyle w:val="39"/>
          <w:rFonts w:ascii="Times New Roman" w:hAnsi="Times New Roman"/>
          <w:szCs w:val="32"/>
        </w:rPr>
        <w:t>优化政务服务流程，</w:t>
      </w:r>
      <w:r>
        <w:rPr>
          <w:rFonts w:ascii="Times New Roman" w:hAnsi="Times New Roman"/>
          <w:szCs w:val="32"/>
        </w:rPr>
        <w:t>缩减残疾人相关业务承诺时间、落实残疾人证“跨省通办”、落实“无证明城市”，方便群众申办残疾人证。</w:t>
      </w:r>
      <w:r>
        <w:rPr>
          <w:rFonts w:hint="eastAsia" w:ascii="Times New Roman" w:hAnsi="Times New Roman"/>
          <w:szCs w:val="32"/>
          <w:lang w:eastAsia="zh-CN"/>
        </w:rPr>
        <w:t>为</w:t>
      </w:r>
      <w:r>
        <w:rPr>
          <w:rFonts w:ascii="Times New Roman" w:hAnsi="Times New Roman"/>
          <w:szCs w:val="32"/>
        </w:rPr>
        <w:t>“出门难”残疾人上门服务，拓宽惠残政策覆盖面。</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6" w:name="_Toc142666170"/>
      <w:r>
        <w:rPr>
          <w:rFonts w:ascii="Times New Roman" w:hAnsi="Times New Roman" w:eastAsia="仿宋_GB2312" w:cs="Times New Roman"/>
          <w:b/>
          <w:sz w:val="32"/>
          <w:szCs w:val="32"/>
        </w:rPr>
        <w:t>5.关爱特殊社会群体生活</w:t>
      </w:r>
      <w:bookmarkEnd w:id="36"/>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 xml:space="preserve">加强对服刑人员社会适应的指导，增强服刑人员出狱后的社会融入能力。加强对服刑人员的就业培训，确保有就业能力的刑满释放人员得到就业。推进社区矫正场所建设，促进社区戒毒、社区康复专业延伸和指导帮扶。依托社会力量为家庭困难服刑人员的亲属予以帮扶，确保服刑人员亲属的基本生活和未成年子女的受教育权得到保障。加大对生活无着流浪乞讨人员的主动救助力度，强化流浪乞讨人员救助与其他社会救助制度的转介衔接，形成政府、社会、家庭共担的救助服务体系，持续加强流浪未成年人救助保护工作。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7" w:name="_Toc142666171"/>
      <w:r>
        <w:rPr>
          <w:rFonts w:ascii="Times New Roman" w:hAnsi="Times New Roman" w:eastAsia="仿宋_GB2312" w:cs="Times New Roman"/>
          <w:b/>
          <w:sz w:val="32"/>
          <w:szCs w:val="32"/>
        </w:rPr>
        <w:t>6.完善退役军人保障体系</w:t>
      </w:r>
      <w:bookmarkEnd w:id="37"/>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 xml:space="preserve">充分发挥退役军人基层服务中心（站）作用，拓宽退役军人安置渠道。引导鼓励退役军人就业向基层延伸，支持退役军人进村和社区两委工作，注重培养使用“兵支书”，注重推选使用“兵小组长”，注重发挥先锋模范作用。助力人才振兴、乡村振兴、文明提升，将退役军人纳入乡村人才振兴培育计划，培养成为农村实用技能人才。完善退役军人创业就业公共服务体系，搭建退役军人线上招聘平台，拓宽就业创业渠道，重点扶持退出现役二年以内的自主就业（自谋职业）退役士兵和退出现役二年以上的就业困难士兵。推动退役军人就业创业园建设，为有创业意愿的退役军人免费开展创业培训，鼓励创业领军人物带动退役军人就业创业。强化退役军人保险关系转移接续，健全退役军人抚恤优待体系，加强退役军人服务设施建设，将退役军人事务列入经济社会发展总体规划。 </w:t>
      </w:r>
      <w:r>
        <w:rPr>
          <w:rFonts w:ascii="Times New Roman" w:hAnsi="Times New Roman" w:eastAsia="仿宋_GB2312"/>
          <w:b/>
          <w:bCs/>
          <w:sz w:val="32"/>
          <w:szCs w:val="32"/>
        </w:rPr>
        <w:t xml:space="preserve">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38" w:name="_Toc142666172"/>
      <w:r>
        <w:rPr>
          <w:rFonts w:ascii="Times New Roman" w:hAnsi="Times New Roman" w:eastAsia="仿宋_GB2312" w:cs="Times New Roman"/>
          <w:b/>
          <w:sz w:val="32"/>
          <w:szCs w:val="32"/>
        </w:rPr>
        <w:t>7.建立脱贫人口监测机制</w:t>
      </w:r>
      <w:bookmarkEnd w:id="38"/>
      <w:r>
        <w:rPr>
          <w:rFonts w:ascii="Times New Roman" w:hAnsi="Times New Roman" w:eastAsia="仿宋_GB2312" w:cs="Times New Roman"/>
          <w:b/>
          <w:sz w:val="32"/>
          <w:szCs w:val="32"/>
        </w:rPr>
        <w:t xml:space="preserve"> </w:t>
      </w:r>
    </w:p>
    <w:p>
      <w:pPr>
        <w:adjustRightInd w:val="0"/>
        <w:snapToGrid w:val="0"/>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ascii="Times New Roman" w:hAnsi="Times New Roman" w:eastAsia="仿宋_GB2312" w:cs="Times New Roman"/>
          <w:color w:val="000000"/>
          <w:sz w:val="32"/>
          <w:szCs w:val="32"/>
        </w:rPr>
        <w:t>稳步推进脱贫攻坚与乡村振兴有效衔接，</w:t>
      </w:r>
      <w:r>
        <w:rPr>
          <w:rFonts w:ascii="Times New Roman" w:hAnsi="Times New Roman" w:eastAsia="仿宋_GB2312" w:cs="Times New Roman"/>
          <w:kern w:val="0"/>
          <w:sz w:val="32"/>
          <w:szCs w:val="32"/>
        </w:rPr>
        <w:t>切实巩固脱贫攻坚成果，防止脱贫人口返贫。运用大数据技术建立完善返贫致贫的监测预警机制，通过设置关键指标评判、综合参照系数、模块趋势研判等，实现对脱贫人员防返贫进行实时精准监测预警，对符合条件的因灾、因疫、因病、因残等返贫致贫人口及时录入监测系统，建立健全完善医保、救助机制，确保监测对象不会因病因灾返贫。发挥医疗救助托底保障功能，做好巩固拓展医疗保障脱贫攻坚成果同乡村振兴有效衔接工作，救助对象普通门诊费用纳入医疗救助范围且不设起付线。创新帮扶举措，强化“扶志扶智”行动，建立防止返贫的长效机制。继续实施最低生活保障、特困人员供养、自然灾害受影响群体等社会救助政策。拓宽困难群体就业渠道。通过扩大就业创业政策宣传，多渠道发布企业招聘信息，为劳动者提供就业岗位。开展针对性就业帮扶，适度提高职工养老保险和医疗保险补贴金额。强化扶持促进创业，面向有创业愿意和创业能力、缺乏创业基本知识人群开展创业培训。拓宽技能培训渠道，全面走访建档立卡脱贫户，充分摸排了解生活需求、求职意向、培训需求等结合实际，开设具有地方特色的免费培训项目。</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39" w:name="_Toc142666173"/>
      <w:r>
        <w:rPr>
          <w:rFonts w:ascii="Times New Roman" w:hAnsi="Times New Roman" w:eastAsia="楷体_GB2312" w:cs="Times New Roman"/>
          <w:sz w:val="32"/>
          <w:szCs w:val="32"/>
        </w:rPr>
        <w:t>（六）开展银龄行动，积极应对老龄趋势</w:t>
      </w:r>
      <w:bookmarkEnd w:id="39"/>
    </w:p>
    <w:p>
      <w:pPr>
        <w:pStyle w:val="14"/>
        <w:adjustRightInd w:val="0"/>
        <w:snapToGrid w:val="0"/>
        <w:spacing w:line="580" w:lineRule="exact"/>
        <w:ind w:left="0" w:leftChars="0" w:firstLine="0" w:firstLineChars="0"/>
        <w:rPr>
          <w:rFonts w:ascii="Times New Roman" w:hAnsi="Times New Roman" w:eastAsia="仿宋_GB2312" w:cs="Times New Roman"/>
          <w:kern w:val="0"/>
        </w:rPr>
      </w:pPr>
      <w:r>
        <w:rPr>
          <w:rFonts w:ascii="Times New Roman" w:hAnsi="Times New Roman" w:eastAsia="仿宋_GB2312" w:cs="Times New Roman"/>
          <w:kern w:val="0"/>
        </w:rPr>
        <w:t xml:space="preserve">    聚焦当前城区人口老龄化趋势，对接《国家积极应对人口老龄化中长期规划》，</w:t>
      </w:r>
      <w:r>
        <w:rPr>
          <w:rFonts w:ascii="Times New Roman" w:hAnsi="Times New Roman" w:eastAsia="仿宋_GB2312" w:cs="Times New Roman"/>
          <w:color w:val="000000"/>
          <w:shd w:val="clear" w:color="auto" w:fill="FFFFFF"/>
        </w:rPr>
        <w:t>加快构建以社会保障、养老服务、健康支持、宜居环境为核心的应对老龄化制度框架，形成多层次养老服务新格局。</w:t>
      </w:r>
      <w:r>
        <w:rPr>
          <w:rFonts w:ascii="Times New Roman" w:hAnsi="Times New Roman" w:eastAsia="仿宋_GB2312" w:cs="Times New Roman"/>
          <w:kern w:val="0"/>
        </w:rPr>
        <w:t>通过</w:t>
      </w:r>
      <w:r>
        <w:rPr>
          <w:rFonts w:ascii="Times New Roman" w:hAnsi="Times New Roman" w:eastAsia="仿宋_GB2312" w:cs="Times New Roman"/>
        </w:rPr>
        <w:t>完善养老社会保障制度，积极开发老年人资源、银发产业经济，激发老龄化正面效应，逐步</w:t>
      </w:r>
      <w:r>
        <w:rPr>
          <w:rFonts w:ascii="Times New Roman" w:hAnsi="Times New Roman" w:eastAsia="仿宋_GB2312" w:cs="Times New Roman"/>
          <w:kern w:val="0"/>
        </w:rPr>
        <w:t>构建老年友好型社会等，形成老年人、家庭、社会、政府共同参与的良好氛围，推动老龄事业高品质发展。</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0" w:name="_Toc142666174"/>
      <w:r>
        <w:rPr>
          <w:rFonts w:ascii="Times New Roman" w:hAnsi="Times New Roman" w:eastAsia="仿宋_GB2312" w:cs="Times New Roman"/>
          <w:b/>
          <w:sz w:val="32"/>
          <w:szCs w:val="32"/>
        </w:rPr>
        <w:t>1.完善养老社会保障制度</w:t>
      </w:r>
      <w:bookmarkEnd w:id="40"/>
    </w:p>
    <w:p>
      <w:pPr>
        <w:pStyle w:val="16"/>
        <w:adjustRightInd w:val="0"/>
        <w:snapToGrid w:val="0"/>
        <w:spacing w:beforeAutospacing="0" w:afterAutospacing="0" w:line="580" w:lineRule="exact"/>
        <w:ind w:firstLine="640" w:firstLineChars="200"/>
        <w:jc w:val="both"/>
        <w:textAlignment w:val="baseline"/>
        <w:rPr>
          <w:rFonts w:ascii="Times New Roman" w:hAnsi="Times New Roman" w:eastAsia="仿宋_GB2312"/>
          <w:spacing w:val="3"/>
          <w:sz w:val="32"/>
          <w:szCs w:val="32"/>
          <w:shd w:val="clear" w:color="auto" w:fill="FFFFFF"/>
        </w:rPr>
      </w:pPr>
      <w:r>
        <w:rPr>
          <w:rFonts w:ascii="Times New Roman" w:hAnsi="Times New Roman" w:eastAsia="仿宋_GB2312"/>
          <w:bCs/>
          <w:sz w:val="32"/>
          <w:szCs w:val="32"/>
        </w:rPr>
        <w:t>建立健全养老保险体系，</w:t>
      </w:r>
      <w:r>
        <w:rPr>
          <w:rFonts w:ascii="Times New Roman" w:hAnsi="Times New Roman" w:eastAsia="仿宋_GB2312"/>
          <w:sz w:val="32"/>
          <w:szCs w:val="32"/>
        </w:rPr>
        <w:t>确保老有所保。执行市城乡居民基础养老金标准。鼓励补充性养老保险发展，拓宽养老保险基金投资渠道。积极构建以基本养老保险为依托、企业年金和商业保险为补充的多层次养老保险体系。对企业年金制度和商业养老金计划提供支持，鼓励城乡居民购买补充性的商业保险、健康保险等，并在此基础上，积极建立商业保险机构开办养老社区的盈利模式。提高养老保险基金抗风险能力，统筹养老与经济社会发展，有序有效提高老年人医保待遇。不断提高城乡低保水平，保障高龄、失能、失智、孤寡等特困老人群体的基本养老服务全覆盖。积极应对</w:t>
      </w:r>
      <w:r>
        <w:rPr>
          <w:rFonts w:ascii="Times New Roman" w:hAnsi="Times New Roman" w:eastAsia="仿宋_GB2312"/>
          <w:spacing w:val="3"/>
          <w:sz w:val="32"/>
          <w:szCs w:val="32"/>
          <w:shd w:val="clear" w:color="auto" w:fill="FFFFFF"/>
        </w:rPr>
        <w:t>农村人口老龄化程度深、空巢独居现象普遍、高龄失能失智占比高等挑战，加快</w:t>
      </w:r>
      <w:r>
        <w:rPr>
          <w:rFonts w:ascii="Times New Roman" w:hAnsi="Times New Roman" w:eastAsia="仿宋_GB2312"/>
          <w:sz w:val="32"/>
          <w:szCs w:val="32"/>
        </w:rPr>
        <w:t>完善农村普惠与特惠相结合的养老政策，</w:t>
      </w:r>
      <w:r>
        <w:rPr>
          <w:rFonts w:ascii="Times New Roman" w:hAnsi="Times New Roman" w:eastAsia="仿宋_GB2312"/>
          <w:spacing w:val="3"/>
          <w:sz w:val="32"/>
          <w:szCs w:val="32"/>
          <w:shd w:val="clear" w:color="auto" w:fill="FFFFFF"/>
        </w:rPr>
        <w:t>发展多种形式的资金互助、服务互助、文化互助的社会养老互助模式，保障农村老人老有所养、老有所依。</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1" w:name="_Toc142666175"/>
      <w:r>
        <w:rPr>
          <w:rFonts w:ascii="Times New Roman" w:hAnsi="Times New Roman" w:eastAsia="仿宋_GB2312" w:cs="Times New Roman"/>
          <w:b/>
          <w:sz w:val="32"/>
          <w:szCs w:val="32"/>
        </w:rPr>
        <w:t>2.推动养老服务提质增效</w:t>
      </w:r>
      <w:bookmarkEnd w:id="41"/>
    </w:p>
    <w:p>
      <w:pPr>
        <w:adjustRightInd w:val="0"/>
        <w:snapToGrid w:val="0"/>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围绕积极应对人口老龄化，进一步推进城区居家养老服务高质量发展，建成15分钟养老服务生活圈，着力补齐民生短板，积极推进居家养老服务工作落实。进一步细化、完善城区居家养老服务实施细则和行动方案，统筹整合各镇（街道）辖区公有房产、空置物业和社会闲置资源，加快推进养老服务项目建设，逐步完善城区养老服务设施。加快发展养老服务业，提高养老服务床位供给总量，不断满足日益增加的孤寡老人入住和社区老年人提供全方位、多层次的福利服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积极开展各级综合养老服务中心、居家养老服务中心、幸福食堂建设，实现镇</w:t>
      </w:r>
      <w:r>
        <w:rPr>
          <w:rFonts w:hint="eastAsia" w:ascii="Times New Roman" w:hAnsi="Times New Roman" w:eastAsia="仿宋_GB2312" w:cs="Times New Roman"/>
          <w:sz w:val="32"/>
          <w:szCs w:val="32"/>
          <w:lang w:eastAsia="zh-CN"/>
        </w:rPr>
        <w:t>（街道）</w:t>
      </w:r>
      <w:r>
        <w:rPr>
          <w:rFonts w:ascii="Times New Roman" w:hAnsi="Times New Roman" w:eastAsia="仿宋_GB2312" w:cs="Times New Roman"/>
          <w:sz w:val="32"/>
          <w:szCs w:val="32"/>
        </w:rPr>
        <w:t>综合养老服务中心、居家养老服务中心全覆盖。逐步完善养老服务设施、社区服务站点，进一步为老年人提供家政服务、助餐服务、文娱活动、日间照料、午间休息、康复保健、精神慰藉、信息支援等服务功能，为城区养老服务体系建设打下良好的基础。</w:t>
      </w:r>
      <w:r>
        <w:rPr>
          <w:rFonts w:ascii="Times New Roman" w:hAnsi="Times New Roman" w:eastAsia="仿宋_GB2312" w:cs="Times New Roman"/>
          <w:bCs/>
          <w:sz w:val="32"/>
          <w:szCs w:val="32"/>
        </w:rPr>
        <w:t>探索多维度医养深度结合。</w:t>
      </w:r>
      <w:r>
        <w:rPr>
          <w:rFonts w:ascii="Times New Roman" w:hAnsi="Times New Roman" w:eastAsia="仿宋_GB2312" w:cs="Times New Roman"/>
          <w:sz w:val="32"/>
          <w:szCs w:val="32"/>
        </w:rPr>
        <w:t>调动各级医疗资源、基层组织以及相关养老服务机构、产业企业等方面力量，开展健康养老服务，建设预防、医疗、康复、护理等相衔接的覆盖全生命周期的医疗服务体系。</w:t>
      </w:r>
      <w:r>
        <w:rPr>
          <w:rFonts w:ascii="Times New Roman" w:hAnsi="Times New Roman" w:eastAsia="仿宋_GB2312" w:cs="Times New Roman"/>
          <w:bCs/>
          <w:sz w:val="32"/>
          <w:szCs w:val="32"/>
        </w:rPr>
        <w:t>探索多种形式的医养结合服务模式。</w:t>
      </w:r>
    </w:p>
    <w:p>
      <w:pPr>
        <w:pStyle w:val="2"/>
        <w:rPr>
          <w:rFonts w:ascii="Times New Roman" w:hAnsi="Times New Roman" w:cs="Times New Roman"/>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vAlign w:val="center"/>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专栏6-1 实施养老服务提质增效行动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6"/>
              <w:snapToGrid w:val="0"/>
              <w:spacing w:after="0" w:line="560" w:lineRule="exact"/>
              <w:ind w:left="0" w:leftChars="0" w:firstLine="560" w:firstLineChars="200"/>
              <w:rPr>
                <w:rFonts w:eastAsia="仿宋_GB2312"/>
                <w:sz w:val="28"/>
                <w:szCs w:val="28"/>
              </w:rPr>
            </w:pPr>
            <w:r>
              <w:rPr>
                <w:rFonts w:eastAsia="仿宋_GB2312"/>
                <w:b/>
                <w:sz w:val="28"/>
                <w:szCs w:val="28"/>
              </w:rPr>
              <w:t>积极推进社区养老服务设施。</w:t>
            </w:r>
            <w:r>
              <w:rPr>
                <w:rFonts w:eastAsia="仿宋_GB2312"/>
                <w:sz w:val="28"/>
                <w:szCs w:val="28"/>
              </w:rPr>
              <w:t>镇</w:t>
            </w:r>
            <w:r>
              <w:rPr>
                <w:rFonts w:hint="eastAsia" w:eastAsia="仿宋_GB2312"/>
                <w:sz w:val="28"/>
                <w:szCs w:val="28"/>
                <w:lang w:eastAsia="zh-CN"/>
              </w:rPr>
              <w:t>（</w:t>
            </w:r>
            <w:r>
              <w:rPr>
                <w:rFonts w:eastAsia="仿宋_GB2312"/>
                <w:sz w:val="28"/>
                <w:szCs w:val="28"/>
              </w:rPr>
              <w:t>街道</w:t>
            </w:r>
            <w:r>
              <w:rPr>
                <w:rFonts w:hint="eastAsia" w:eastAsia="仿宋_GB2312"/>
                <w:sz w:val="28"/>
                <w:szCs w:val="28"/>
                <w:lang w:eastAsia="zh-CN"/>
              </w:rPr>
              <w:t>）</w:t>
            </w:r>
            <w:r>
              <w:rPr>
                <w:rFonts w:eastAsia="仿宋_GB2312"/>
                <w:sz w:val="28"/>
                <w:szCs w:val="28"/>
              </w:rPr>
              <w:t>新建住宅小区按每百户30平方米且单体面积不少于300平方米标准配套建设养老服务设施，老旧城区、已建成居住（小）区按每百户不少于20平方米标准配建社区养老服务设施。补齐农村养老服务建设短板，推进村级养老服务站（农村幸福院）建设，鼓励和组织各镇</w:t>
            </w:r>
            <w:r>
              <w:rPr>
                <w:rFonts w:hint="eastAsia" w:eastAsia="仿宋_GB2312"/>
                <w:sz w:val="28"/>
                <w:szCs w:val="28"/>
                <w:lang w:eastAsia="zh-CN"/>
              </w:rPr>
              <w:t>（街道）</w:t>
            </w:r>
            <w:r>
              <w:rPr>
                <w:rFonts w:eastAsia="仿宋_GB2312"/>
                <w:sz w:val="28"/>
                <w:szCs w:val="28"/>
              </w:rPr>
              <w:t>开展市级农村养老服务改革试点。</w:t>
            </w:r>
          </w:p>
          <w:p>
            <w:pPr>
              <w:pStyle w:val="46"/>
              <w:snapToGrid w:val="0"/>
              <w:spacing w:after="0" w:line="560" w:lineRule="exact"/>
              <w:ind w:left="0" w:leftChars="0" w:firstLine="560" w:firstLineChars="200"/>
              <w:rPr>
                <w:rFonts w:eastAsia="仿宋_GB2312"/>
                <w:sz w:val="28"/>
                <w:szCs w:val="28"/>
              </w:rPr>
            </w:pPr>
            <w:r>
              <w:rPr>
                <w:rFonts w:eastAsia="仿宋_GB2312"/>
                <w:b/>
                <w:sz w:val="28"/>
                <w:szCs w:val="28"/>
              </w:rPr>
              <w:t>提升养老服务人员职业技能</w:t>
            </w:r>
            <w:r>
              <w:rPr>
                <w:rFonts w:eastAsia="仿宋_GB2312"/>
                <w:sz w:val="28"/>
                <w:szCs w:val="28"/>
              </w:rPr>
              <w:t>。提升养老服务机构管理人员、养老护理员、老年社工专业人才、为老服务志愿者等为老服务的工作能力。鼓励汕尾</w:t>
            </w:r>
            <w:r>
              <w:rPr>
                <w:rFonts w:hint="eastAsia" w:eastAsia="仿宋_GB2312"/>
                <w:sz w:val="28"/>
                <w:szCs w:val="28"/>
                <w:lang w:eastAsia="zh-CN"/>
              </w:rPr>
              <w:t>市城区</w:t>
            </w:r>
            <w:r>
              <w:rPr>
                <w:rFonts w:eastAsia="仿宋_GB2312"/>
                <w:sz w:val="28"/>
                <w:szCs w:val="28"/>
              </w:rPr>
              <w:t>职业技术</w:t>
            </w:r>
            <w:r>
              <w:rPr>
                <w:rFonts w:hint="eastAsia" w:eastAsia="仿宋_GB2312"/>
                <w:sz w:val="28"/>
                <w:szCs w:val="28"/>
                <w:lang w:eastAsia="zh-CN"/>
              </w:rPr>
              <w:t>学校</w:t>
            </w:r>
            <w:r>
              <w:rPr>
                <w:rFonts w:eastAsia="仿宋_GB2312"/>
                <w:sz w:val="28"/>
                <w:szCs w:val="28"/>
              </w:rPr>
              <w:t>等各类院校设置养老服务相关课程，建立校企养老服务人才双向培养机制。探索建立养老护理员从业年限补贴制度，开展养老护理员职业技能等级认定，培养壮大老年志愿服务队伍。</w:t>
            </w:r>
          </w:p>
          <w:p>
            <w:pPr>
              <w:pStyle w:val="46"/>
              <w:snapToGrid w:val="0"/>
              <w:spacing w:after="0" w:line="560" w:lineRule="exact"/>
              <w:ind w:left="0" w:leftChars="0" w:firstLine="560" w:firstLineChars="200"/>
              <w:rPr>
                <w:rFonts w:eastAsia="仿宋_GB2312"/>
                <w:b/>
                <w:sz w:val="24"/>
                <w:szCs w:val="24"/>
              </w:rPr>
            </w:pPr>
            <w:r>
              <w:rPr>
                <w:rFonts w:eastAsia="仿宋_GB2312"/>
                <w:b/>
                <w:sz w:val="28"/>
                <w:szCs w:val="28"/>
              </w:rPr>
              <w:t>优化养老服务社区服务环境。</w:t>
            </w:r>
            <w:r>
              <w:rPr>
                <w:rFonts w:eastAsia="仿宋_GB2312"/>
                <w:sz w:val="28"/>
                <w:szCs w:val="28"/>
              </w:rPr>
              <w:t>实施养老助餐服务，积极推广广州市社区居家养老“大配餐”经验做法，构建“15分钟城市居家和社区养老服务圈”，将老年助餐服务设施纳入养老服务设施布局规划，依托现有的养老服务中心、社区养老服务站、配建的养老服务设施等存量设施资源，通过新建、改建、整合等方式，推出一批标准化的老年食堂、老年助餐点。</w:t>
            </w:r>
          </w:p>
        </w:tc>
      </w:tr>
    </w:tbl>
    <w:p>
      <w:pPr>
        <w:jc w:val="center"/>
        <w:rPr>
          <w:rFonts w:ascii="Times New Roman" w:hAnsi="Times New Roman" w:cs="Times New Roman"/>
        </w:rPr>
      </w:pPr>
    </w:p>
    <w:p>
      <w:pPr>
        <w:pStyle w:val="2"/>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2" w:name="_Toc142666176"/>
      <w:r>
        <w:rPr>
          <w:rFonts w:ascii="Times New Roman" w:hAnsi="Times New Roman" w:eastAsia="仿宋_GB2312" w:cs="Times New Roman"/>
          <w:b/>
          <w:sz w:val="32"/>
          <w:szCs w:val="32"/>
        </w:rPr>
        <w:t>3.积极开发老年人力资源</w:t>
      </w:r>
      <w:bookmarkEnd w:id="42"/>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加强老年人力资源制度支持。</w:t>
      </w:r>
      <w:r>
        <w:rPr>
          <w:rFonts w:ascii="Times New Roman" w:hAnsi="Times New Roman" w:eastAsia="仿宋_GB2312"/>
          <w:sz w:val="32"/>
          <w:szCs w:val="32"/>
        </w:rPr>
        <w:t>积极开展老龄人力资源规划等顶层规划编制工作，将老年人力资源开发利用纳入政府职能范畴，健全配套政策措施，支持老年人继续为社会贡献宝贵经验和知识。</w:t>
      </w:r>
      <w:r>
        <w:rPr>
          <w:rFonts w:ascii="Times New Roman" w:hAnsi="Times New Roman" w:eastAsia="仿宋_GB2312"/>
          <w:color w:val="000000"/>
          <w:sz w:val="32"/>
          <w:szCs w:val="32"/>
          <w:shd w:val="clear" w:color="auto" w:fill="FFFFFF"/>
        </w:rPr>
        <w:t>落实渐进式延迟退休年龄政策，</w:t>
      </w:r>
      <w:r>
        <w:rPr>
          <w:rFonts w:ascii="Times New Roman" w:hAnsi="Times New Roman" w:eastAsia="仿宋_GB2312"/>
          <w:sz w:val="32"/>
          <w:szCs w:val="32"/>
        </w:rPr>
        <w:t>通过养老保险等制度设计，推行弹性退休制度，</w:t>
      </w:r>
      <w:r>
        <w:rPr>
          <w:rFonts w:ascii="Times New Roman" w:hAnsi="Times New Roman" w:eastAsia="仿宋_GB2312"/>
          <w:color w:val="000000"/>
          <w:sz w:val="32"/>
          <w:szCs w:val="32"/>
          <w:shd w:val="clear" w:color="auto" w:fill="FFFFFF"/>
        </w:rPr>
        <w:t>鼓励专业技术领域人才延长工作年限。</w:t>
      </w:r>
      <w:r>
        <w:rPr>
          <w:rFonts w:ascii="Times New Roman" w:hAnsi="Times New Roman" w:eastAsia="仿宋_GB2312"/>
          <w:sz w:val="32"/>
          <w:szCs w:val="32"/>
        </w:rPr>
        <w:t xml:space="preserve">进一步推广教师、医生及高级技术人员返聘制度，探索中高级技术人员延迟退休制度。 </w:t>
      </w:r>
    </w:p>
    <w:p>
      <w:pPr>
        <w:pStyle w:val="16"/>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b/>
          <w:bCs/>
          <w:sz w:val="32"/>
          <w:szCs w:val="32"/>
        </w:rPr>
        <w:t>完善老年人力资源就业服务。</w:t>
      </w:r>
      <w:r>
        <w:rPr>
          <w:rFonts w:ascii="Times New Roman" w:hAnsi="Times New Roman" w:eastAsia="仿宋_GB2312"/>
          <w:sz w:val="32"/>
          <w:szCs w:val="32"/>
        </w:rPr>
        <w:t>加强老年人力资源开发平台建设，成立老年人才资源开发中心，建立老年人才信息库及工作推介网站，为老年人就业提供信息服务。组建老年人才市场，定期为老年人才交流提供场所，提供就业供求信息，鼓励市场化人力资源企业积极参与老年人人力资源开发。</w:t>
      </w:r>
      <w:r>
        <w:rPr>
          <w:rFonts w:ascii="Times New Roman" w:hAnsi="Times New Roman" w:eastAsia="仿宋_GB2312"/>
          <w:color w:val="000000"/>
          <w:sz w:val="32"/>
          <w:szCs w:val="32"/>
          <w:shd w:val="clear" w:color="auto" w:fill="FFFFFF"/>
        </w:rPr>
        <w:t>开发与老年人身体素质、文化技能相匹配的适老工作岗位，重点围绕技术服务、咨询顾问、公益服务等领域，建立老年人才资源信息平台和中介服务机构，推进老年人才市场建设。</w:t>
      </w:r>
      <w:r>
        <w:rPr>
          <w:rFonts w:ascii="Times New Roman" w:hAnsi="Times New Roman" w:eastAsia="仿宋_GB2312"/>
          <w:sz w:val="32"/>
          <w:szCs w:val="32"/>
        </w:rPr>
        <w:t xml:space="preserve">重点推动政府通过购买服务等方式，扩充调解员、宣传员、管理员等发挥老年人特长的社区服务类工作。 </w:t>
      </w:r>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
          <w:bCs/>
          <w:sz w:val="32"/>
          <w:szCs w:val="32"/>
        </w:rPr>
        <w:t>持续完善老年教育服务资源。</w:t>
      </w:r>
      <w:r>
        <w:rPr>
          <w:rFonts w:ascii="Times New Roman" w:hAnsi="Times New Roman" w:eastAsia="仿宋_GB2312"/>
          <w:sz w:val="32"/>
          <w:szCs w:val="32"/>
        </w:rPr>
        <w:t xml:space="preserve">强化终身学习理念，创新老年教育培训体制机制。支持社会力量参与发展老年教育，积极推动各类教育机构不断向老年人开放教育资源。建立老年教育公共服务平台，推进老年教育资源、课程、师资共享。优先发展社区老年教育，建立健全老年教育办学网络，方便老年人就近学习。大力开展互联网教育活动，实现老年学习方式多元化，逐步形成以各级老年大学为骨干、社区教育机构为依托、远程教育为载体的老年教育体系。 </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3" w:name="_Toc142666177"/>
      <w:r>
        <w:rPr>
          <w:rFonts w:ascii="Times New Roman" w:hAnsi="Times New Roman" w:eastAsia="仿宋_GB2312" w:cs="Times New Roman"/>
          <w:b/>
          <w:sz w:val="32"/>
          <w:szCs w:val="32"/>
        </w:rPr>
        <w:t>4.大力发展银发产业经济</w:t>
      </w:r>
      <w:bookmarkEnd w:id="43"/>
    </w:p>
    <w:p>
      <w:pPr>
        <w:pStyle w:val="16"/>
        <w:shd w:val="clear" w:color="auto" w:fill="FFFFFF"/>
        <w:adjustRightInd w:val="0"/>
        <w:snapToGrid w:val="0"/>
        <w:spacing w:beforeAutospacing="0" w:afterAutospacing="0" w:line="580" w:lineRule="exact"/>
        <w:ind w:firstLine="624"/>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开展“养老服务+行业”活动，</w:t>
      </w:r>
      <w:r>
        <w:rPr>
          <w:rFonts w:ascii="Times New Roman" w:hAnsi="Times New Roman" w:eastAsia="仿宋_GB2312"/>
          <w:bCs/>
          <w:sz w:val="32"/>
          <w:szCs w:val="32"/>
        </w:rPr>
        <w:t>发展银发产业，</w:t>
      </w:r>
      <w:r>
        <w:rPr>
          <w:rFonts w:ascii="Times New Roman" w:hAnsi="Times New Roman" w:eastAsia="仿宋_GB2312"/>
          <w:color w:val="000000"/>
          <w:sz w:val="32"/>
          <w:szCs w:val="32"/>
          <w:shd w:val="clear" w:color="auto" w:fill="FFFFFF"/>
        </w:rPr>
        <w:t>推动养老事业和养老产业协同发展，</w:t>
      </w:r>
      <w:r>
        <w:rPr>
          <w:rFonts w:ascii="Times New Roman" w:hAnsi="Times New Roman" w:eastAsia="仿宋_GB2312"/>
          <w:bCs/>
          <w:sz w:val="32"/>
          <w:szCs w:val="32"/>
        </w:rPr>
        <w:t>在满足老年人实际需求的同时，推动老年产品市场提质扩容。</w:t>
      </w:r>
      <w:r>
        <w:rPr>
          <w:rFonts w:ascii="Times New Roman" w:hAnsi="Times New Roman" w:eastAsia="仿宋_GB2312"/>
          <w:sz w:val="32"/>
          <w:szCs w:val="32"/>
        </w:rPr>
        <w:t>鼓励社会力量针对老年人需求，通过传统服务与智能创新相结合，发展智慧健康养老服务。支持企业发展老年人适用产品、技术的研发和应用，大力发展以辅助机器人、家庭监控等产品和服务为代表的智慧经济。促进养老服务业与教育培训、健康、体育、文化、旅游、家政、康复辅具等产业融合发展，积极培育智慧养老新业态。</w:t>
      </w:r>
      <w:r>
        <w:rPr>
          <w:rFonts w:ascii="Times New Roman" w:hAnsi="Times New Roman" w:eastAsia="仿宋_GB2312"/>
          <w:color w:val="000000"/>
          <w:sz w:val="32"/>
          <w:szCs w:val="32"/>
          <w:shd w:val="clear" w:color="auto" w:fill="FFFFFF"/>
        </w:rPr>
        <w:t>依托当地健康养生养老资源，发展整合观光旅游、候鸟式养老、休闲疗养、健康医护的综合性养老产业。</w:t>
      </w:r>
      <w:r>
        <w:rPr>
          <w:rFonts w:ascii="Times New Roman" w:hAnsi="Times New Roman" w:eastAsia="仿宋_GB2312"/>
          <w:sz w:val="32"/>
          <w:szCs w:val="32"/>
        </w:rPr>
        <w:t>充分发挥老年大学、职业教育、老年教育机构的积极作用，加速推进老年健康教育和生命教育产业发展，补齐老年健康素养短板。</w:t>
      </w:r>
    </w:p>
    <w:p>
      <w:pPr>
        <w:pStyle w:val="16"/>
        <w:shd w:val="clear" w:color="auto" w:fill="FFFFFF"/>
        <w:adjustRightInd w:val="0"/>
        <w:snapToGrid w:val="0"/>
        <w:spacing w:beforeAutospacing="0" w:afterAutospacing="0" w:line="580" w:lineRule="exact"/>
        <w:jc w:val="center"/>
        <w:rPr>
          <w:rFonts w:ascii="Times New Roman" w:hAnsi="Times New Roman" w:eastAsia="仿宋_GB2312"/>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D0CECE" w:themeFill="background2" w:themeFillShade="E6"/>
            <w:vAlign w:val="center"/>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专栏6-2 实施银发产业新动能行动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6"/>
              <w:snapToGrid w:val="0"/>
              <w:spacing w:after="0" w:line="560" w:lineRule="exact"/>
              <w:ind w:left="14" w:leftChars="7" w:firstLine="560" w:firstLineChars="200"/>
              <w:rPr>
                <w:rFonts w:eastAsia="仿宋_GB2312"/>
                <w:sz w:val="28"/>
                <w:szCs w:val="28"/>
              </w:rPr>
            </w:pPr>
            <w:r>
              <w:rPr>
                <w:rFonts w:eastAsia="仿宋_GB2312"/>
                <w:b/>
                <w:sz w:val="28"/>
                <w:szCs w:val="28"/>
              </w:rPr>
              <w:t>加大投入，政策兜底。</w:t>
            </w:r>
            <w:r>
              <w:rPr>
                <w:rFonts w:eastAsia="仿宋_GB2312"/>
                <w:sz w:val="28"/>
                <w:szCs w:val="28"/>
              </w:rPr>
              <w:t>建立“银发产业”专项基金，优先支持养老院、护理机构、智能化设施等与老年人相关的事业和服务开发、推广；鼓励支持“银发产业”领域的企业、科研机构发展新技术，开发高端创新型产品。建设适宜居住的“银发社区”，制定出台有助于“银发经济”发展的支持性政策。加强政府金融扶持力度，对从事“银发产业”的企业提供贷款、减税等支持。</w:t>
            </w:r>
          </w:p>
          <w:p>
            <w:pPr>
              <w:pStyle w:val="46"/>
              <w:snapToGrid w:val="0"/>
              <w:spacing w:after="0" w:line="560" w:lineRule="exact"/>
              <w:ind w:left="14" w:leftChars="7" w:firstLine="560" w:firstLineChars="200"/>
              <w:rPr>
                <w:rFonts w:eastAsia="仿宋_GB2312"/>
                <w:b/>
                <w:sz w:val="28"/>
                <w:szCs w:val="28"/>
              </w:rPr>
            </w:pPr>
            <w:r>
              <w:rPr>
                <w:rFonts w:eastAsia="仿宋_GB2312"/>
                <w:b/>
                <w:sz w:val="28"/>
                <w:szCs w:val="28"/>
              </w:rPr>
              <w:t>多措并举，创新手段。</w:t>
            </w:r>
            <w:r>
              <w:rPr>
                <w:rFonts w:eastAsia="仿宋_GB2312"/>
                <w:sz w:val="28"/>
                <w:szCs w:val="28"/>
              </w:rPr>
              <w:t>加强政府引导，鼓励企业和社会机构合作，整合各方资源，强化老龄群体服务的针对性。打破传统“居家养老”“社区养老”“养老院养老”模式。倡导智慧养老，依托地方高校、科研机构的资源优势，研发基于“银发经济”的创新产品，推广远程监控、出行定位、健康监测等智慧养老项目。</w:t>
            </w:r>
          </w:p>
          <w:p>
            <w:pPr>
              <w:pStyle w:val="46"/>
              <w:snapToGrid w:val="0"/>
              <w:spacing w:after="0" w:line="560" w:lineRule="exact"/>
              <w:ind w:left="14" w:leftChars="7" w:firstLine="560" w:firstLineChars="200"/>
              <w:rPr>
                <w:rFonts w:eastAsia="仿宋_GB2312"/>
                <w:sz w:val="28"/>
                <w:szCs w:val="28"/>
              </w:rPr>
            </w:pPr>
            <w:r>
              <w:rPr>
                <w:rFonts w:eastAsia="仿宋_GB2312"/>
                <w:b/>
                <w:sz w:val="28"/>
                <w:szCs w:val="28"/>
              </w:rPr>
              <w:t>建立机制，培养人才。</w:t>
            </w:r>
            <w:r>
              <w:rPr>
                <w:rFonts w:eastAsia="仿宋_GB2312"/>
                <w:sz w:val="28"/>
                <w:szCs w:val="28"/>
              </w:rPr>
              <w:t>启动“银发经济”人才的创新创业行动计划，搭建平台，建立人才库、成果库和人才需求库档案，为“银发经济”人才的创新、创业提供信息保障。加强对从业人员的技能培训，建立与“银发产业”相关人才的培养机制，加大政策倾斜力度，鼓励社会专业人才，积极从事“银发产业”的相关工作。</w:t>
            </w:r>
          </w:p>
          <w:p>
            <w:pPr>
              <w:pStyle w:val="46"/>
              <w:snapToGrid w:val="0"/>
              <w:spacing w:after="0" w:line="560" w:lineRule="exact"/>
              <w:ind w:left="14" w:leftChars="7" w:firstLine="560" w:firstLineChars="200"/>
              <w:rPr>
                <w:rFonts w:eastAsia="仿宋_GB2312"/>
                <w:b/>
                <w:sz w:val="28"/>
                <w:szCs w:val="28"/>
              </w:rPr>
            </w:pPr>
            <w:r>
              <w:rPr>
                <w:rFonts w:eastAsia="仿宋_GB2312"/>
                <w:b/>
                <w:sz w:val="28"/>
                <w:szCs w:val="28"/>
              </w:rPr>
              <w:t>制定标准，保障质量。</w:t>
            </w:r>
            <w:r>
              <w:rPr>
                <w:rFonts w:eastAsia="仿宋_GB2312"/>
                <w:sz w:val="28"/>
                <w:szCs w:val="28"/>
              </w:rPr>
              <w:t>强化政府监管，建立健全“银发产业”评价体系，通过行业标准制定和养老业监管体系建设，加强对相关企业评估和认证，保证“银发产业”服务的质量和安全。</w:t>
            </w:r>
          </w:p>
        </w:tc>
      </w:tr>
    </w:tbl>
    <w:p>
      <w:pPr>
        <w:pStyle w:val="16"/>
        <w:shd w:val="clear" w:color="auto" w:fill="FFFFFF"/>
        <w:adjustRightInd w:val="0"/>
        <w:snapToGrid w:val="0"/>
        <w:spacing w:beforeAutospacing="0" w:afterAutospacing="0" w:line="580" w:lineRule="exact"/>
        <w:jc w:val="center"/>
        <w:rPr>
          <w:rFonts w:ascii="Times New Roman" w:hAnsi="Times New Roman" w:eastAsia="仿宋_GB2312"/>
          <w:sz w:val="32"/>
          <w:szCs w:val="32"/>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4" w:name="_Toc142666178"/>
      <w:r>
        <w:rPr>
          <w:rFonts w:ascii="Times New Roman" w:hAnsi="Times New Roman" w:eastAsia="仿宋_GB2312" w:cs="Times New Roman"/>
          <w:b/>
          <w:sz w:val="32"/>
          <w:szCs w:val="32"/>
        </w:rPr>
        <w:t>5.积极打造老年友好社会</w:t>
      </w:r>
      <w:bookmarkEnd w:id="44"/>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积极宣传敬老爱老助老模范人物和先进事迹，弘扬中华民族尊老、孝老、爱老的传统美德，使全社会充分了解我国人口老龄化形势、挑战与机遇，提升政府、企业、社会、家庭及老年人自身对老年参与社会建设重要性的认识。充分发挥大众传媒及各种宣传渠道的作用，在全区范围内广泛开展人口老龄化形势、老龄政策法规、应对人口老龄化成就、孝亲敬老文化和积极老龄观等人口老龄化国情教育。树立认识老年人、老年期和老年生活的正确观念，营造全社会关心、支持、参与积极应对人口老龄化的良好氛围，积极打造老年友好社会。</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45" w:name="_Toc142666179"/>
      <w:r>
        <w:rPr>
          <w:rFonts w:ascii="Times New Roman" w:hAnsi="Times New Roman" w:eastAsia="楷体_GB2312" w:cs="Times New Roman"/>
          <w:sz w:val="32"/>
          <w:szCs w:val="32"/>
        </w:rPr>
        <w:t>（七）增强家庭服务，提升家庭发展能力</w:t>
      </w:r>
      <w:bookmarkEnd w:id="45"/>
    </w:p>
    <w:p>
      <w:pPr>
        <w:pStyle w:val="14"/>
        <w:adjustRightInd w:val="0"/>
        <w:snapToGrid w:val="0"/>
        <w:spacing w:line="580" w:lineRule="exact"/>
        <w:ind w:left="0" w:leftChars="0"/>
        <w:rPr>
          <w:rFonts w:ascii="Times New Roman" w:hAnsi="Times New Roman" w:eastAsia="仿宋_GB2312" w:cs="Times New Roman"/>
        </w:rPr>
      </w:pPr>
      <w:r>
        <w:rPr>
          <w:rFonts w:ascii="Times New Roman" w:hAnsi="Times New Roman" w:eastAsia="仿宋_GB2312" w:cs="Times New Roman"/>
        </w:rPr>
        <w:t xml:space="preserve">  聚焦家庭服务体系建设，</w:t>
      </w:r>
      <w:r>
        <w:rPr>
          <w:rFonts w:ascii="Times New Roman" w:hAnsi="Times New Roman" w:eastAsia="仿宋_GB2312" w:cs="Times New Roman"/>
          <w:color w:val="000000"/>
          <w:shd w:val="clear" w:color="auto" w:fill="FFFFFF"/>
        </w:rPr>
        <w:t>建立家庭支持政策体系，推进服务保障功能提升，切实</w:t>
      </w:r>
      <w:r>
        <w:rPr>
          <w:rFonts w:ascii="Times New Roman" w:hAnsi="Times New Roman" w:eastAsia="仿宋_GB2312" w:cs="Times New Roman"/>
        </w:rPr>
        <w:t>增强家庭服务支撑，降低家庭养育负担，提升家庭发展能力，传承良好家风。推动形成爱国爱家、相亲相爱、向上向善、共建共享的社会主义家庭文明新风尚，提高市民幸福指数。</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6" w:name="_Toc142666180"/>
      <w:r>
        <w:rPr>
          <w:rFonts w:ascii="Times New Roman" w:hAnsi="Times New Roman" w:eastAsia="仿宋_GB2312" w:cs="Times New Roman"/>
          <w:b/>
          <w:sz w:val="32"/>
          <w:szCs w:val="32"/>
        </w:rPr>
        <w:t>1.完善家庭服务支撑体系</w:t>
      </w:r>
      <w:bookmarkEnd w:id="46"/>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基础性和普惠型家庭服务供给，执行省“广东兜底民生服务社会工作双百工程”“脱贫攻坚巩固”等保障工作，完善老人照护、儿童托管、医疗保健、家政服务、困难家庭救助等服务体系。推动家庭服务向精细化、体系化、高品质化和社会化方向发展，加快健康、养老、育幼、家政、文旅、体育、物业等生活服务业融合发展。加强科学养育、老年照护等宣传教育工作，开发和提供支持妇女全面发展的公共服务，完善促进男女平等的家庭发展政策体系。完善城镇住房保障制度，对城镇住房困难家庭在合理轮候期内给予保障。加大对孤儿监护人家庭、单亲家庭、老年空巢家庭、残疾人家庭、贫困家庭、受灾家庭及其他特殊困难家庭的帮扶支持力度，充分发挥社会工作服务机构和社会工作者的作用。提升家庭服务质量，促进家庭全面发展。</w:t>
      </w:r>
    </w:p>
    <w:p>
      <w:pPr>
        <w:pStyle w:val="2"/>
        <w:rPr>
          <w:rFonts w:ascii="Times New Roman" w:hAnsi="Times New Roman" w:cs="Times New Roman"/>
          <w:lang w:eastAsia="zh-CN"/>
        </w:rPr>
      </w:pPr>
    </w:p>
    <w:p>
      <w:pPr>
        <w:pStyle w:val="2"/>
        <w:rPr>
          <w:rFonts w:ascii="Times New Roman" w:hAnsi="Times New Roman" w:cs="Times New Roman"/>
          <w:lang w:eastAsia="zh-CN"/>
        </w:rPr>
      </w:pPr>
    </w:p>
    <w:tbl>
      <w:tblPr>
        <w:tblStyle w:val="1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0CECE" w:themeFill="background2" w:themeFillShade="E6"/>
            <w:vAlign w:val="center"/>
          </w:tcPr>
          <w:p>
            <w:pPr>
              <w:jc w:val="center"/>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专栏7-1 实施家庭儿童无忧托育行动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6"/>
              <w:snapToGrid w:val="0"/>
              <w:spacing w:after="0" w:line="560" w:lineRule="exact"/>
              <w:ind w:left="0" w:leftChars="0" w:firstLine="560" w:firstLineChars="200"/>
              <w:rPr>
                <w:rFonts w:eastAsia="仿宋_GB2312"/>
                <w:sz w:val="28"/>
                <w:szCs w:val="28"/>
              </w:rPr>
            </w:pPr>
            <w:r>
              <w:rPr>
                <w:rFonts w:eastAsia="仿宋_GB2312"/>
                <w:sz w:val="28"/>
                <w:szCs w:val="28"/>
              </w:rPr>
              <w:t>坚持普惠导向、自愿参加、竞争择优、安全规范的原则，建成一批具有带动效应、承担一定指导功能的示范性托育服务机构，普惠性托位数量大幅增加，服务内容不断丰富，服务质量明显提升，对专业人才队伍建设支撑更加有力，对家庭科学养育指导能力持续增强，更多更好惠及婴幼儿家庭。</w:t>
            </w:r>
          </w:p>
          <w:p>
            <w:pPr>
              <w:pStyle w:val="46"/>
              <w:snapToGrid w:val="0"/>
              <w:spacing w:after="0" w:line="560" w:lineRule="exact"/>
              <w:ind w:left="0" w:leftChars="0" w:firstLine="560" w:firstLineChars="200"/>
              <w:rPr>
                <w:rFonts w:eastAsia="仿宋_GB2312"/>
                <w:sz w:val="28"/>
                <w:szCs w:val="28"/>
              </w:rPr>
            </w:pPr>
            <w:r>
              <w:rPr>
                <w:rFonts w:eastAsia="仿宋_GB2312"/>
                <w:b/>
                <w:sz w:val="28"/>
                <w:szCs w:val="28"/>
              </w:rPr>
              <w:t>明确定位标准、推托幼一体化。</w:t>
            </w:r>
            <w:r>
              <w:rPr>
                <w:rFonts w:eastAsia="仿宋_GB2312"/>
                <w:sz w:val="28"/>
                <w:szCs w:val="28"/>
              </w:rPr>
              <w:t>推进2岁至6岁托幼一体化，减轻家庭的生育、养育与教育成本，直面出生人口减少给教育发展带来的挑战，系统解决入托难、入托贵、入园难、入园贵问题。</w:t>
            </w:r>
          </w:p>
          <w:p>
            <w:pPr>
              <w:pStyle w:val="46"/>
              <w:snapToGrid w:val="0"/>
              <w:spacing w:after="0" w:line="560" w:lineRule="exact"/>
              <w:ind w:left="0" w:leftChars="0" w:firstLine="560" w:firstLineChars="200"/>
              <w:rPr>
                <w:rFonts w:eastAsia="仿宋_GB2312"/>
                <w:sz w:val="28"/>
                <w:szCs w:val="28"/>
              </w:rPr>
            </w:pPr>
            <w:r>
              <w:rPr>
                <w:rFonts w:eastAsia="仿宋_GB2312"/>
                <w:b/>
                <w:sz w:val="28"/>
                <w:szCs w:val="28"/>
              </w:rPr>
              <w:t>加大普惠供给、全力满足需求。</w:t>
            </w:r>
            <w:r>
              <w:rPr>
                <w:rFonts w:eastAsia="仿宋_GB2312"/>
                <w:sz w:val="28"/>
                <w:szCs w:val="28"/>
              </w:rPr>
              <w:t>加大多层次、个性化普惠托育服务体系，利用社会力量发展综合托育服务机构和社区托育服务设施，增加示范性普惠托位。在托育服务的时间安排上，提供全日制、半日制、计时托、临时托管等可供选择的多种服务；在托育内容上，根据3岁以下婴幼儿的身心发展特点来提供托育服务，应注重以保为主，保教融合；在服务地点的选择上，发挥社区作用，支持社区和企事业单位开展托育服务，最大程度利用已有场地，建立社区托育服务点，盘活社区资源；企事业单位可以通过单独或联合举办等形式，为职工提供福利性托育服务。</w:t>
            </w:r>
          </w:p>
          <w:p>
            <w:pPr>
              <w:pStyle w:val="46"/>
              <w:snapToGrid w:val="0"/>
              <w:spacing w:after="0" w:line="560" w:lineRule="exact"/>
              <w:ind w:left="0" w:leftChars="0" w:firstLine="560" w:firstLineChars="200"/>
              <w:rPr>
                <w:rFonts w:eastAsia="仿宋_GB2312"/>
                <w:sz w:val="28"/>
                <w:szCs w:val="28"/>
              </w:rPr>
            </w:pPr>
            <w:r>
              <w:rPr>
                <w:rFonts w:eastAsia="仿宋_GB2312"/>
                <w:b/>
                <w:sz w:val="28"/>
                <w:szCs w:val="28"/>
              </w:rPr>
              <w:t>规范服务标准、加强行业监管。</w:t>
            </w:r>
            <w:r>
              <w:rPr>
                <w:rFonts w:eastAsia="仿宋_GB2312"/>
                <w:sz w:val="28"/>
                <w:szCs w:val="28"/>
              </w:rPr>
              <w:t>优化细化托育服务行业标准体系，推动托育机构监管工作规范。为托育机构提供更具体的可操作的依据，包括从业人员准入、日常管理、监督监管等方面，提高托育服务发展的水平，促进行业健康发展，解除家长后顾之忧。</w:t>
            </w:r>
          </w:p>
        </w:tc>
      </w:tr>
    </w:tbl>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7" w:name="_Toc142666181"/>
      <w:r>
        <w:rPr>
          <w:rFonts w:ascii="Times New Roman" w:hAnsi="Times New Roman" w:eastAsia="仿宋_GB2312" w:cs="Times New Roman"/>
          <w:b/>
          <w:sz w:val="32"/>
          <w:szCs w:val="32"/>
        </w:rPr>
        <w:t>2.增强家庭服务产业发展</w:t>
      </w:r>
      <w:bookmarkEnd w:id="47"/>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加大普惠型公共服务。</w:t>
      </w:r>
      <w:r>
        <w:rPr>
          <w:rFonts w:ascii="Times New Roman" w:hAnsi="Times New Roman" w:eastAsia="仿宋_GB2312" w:cs="Times New Roman"/>
          <w:sz w:val="32"/>
          <w:szCs w:val="32"/>
        </w:rPr>
        <w:t>扩大普惠性托育、学前教育有效供给，显著减轻家庭生育、养育、教育负担。加大宣传力度，提升市民对普惠型养老、居家养老、普惠型托幼服务的认知度，营造市民认可、可接受的普惠型家庭服务的社会氛围。制定税收减免、政府补贴等优惠政策，鼓励相关企业提供更多普惠服务。支持非营利性机构发展普惠型养老托幼服务。鼓励、支持街道、社区利用公共服务资源，推进社区养老托育服务的基础设施建设和升级改造。支持有资质的社会组织通过公办民营、民办公助等形式依法依规开展社区普惠型养老、普惠型托育、家政服务、长期照护、医疗保健、教育就业等服务。</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壮大家庭市场服务业。</w:t>
      </w:r>
      <w:r>
        <w:rPr>
          <w:rFonts w:ascii="Times New Roman" w:hAnsi="Times New Roman" w:eastAsia="仿宋_GB2312" w:cs="Times New Roman"/>
          <w:sz w:val="32"/>
          <w:szCs w:val="32"/>
        </w:rPr>
        <w:t>健全政府主导、社会组织参与的工作机制，推动各类市场主体参与家庭服务供给，培育家庭服务市场环境，补齐发展短板，建立新时代城区家庭服务业。推动现有生产性服务业向专业化、品牌化和价值链高端延伸，推进家庭服务业优质发展。建立家庭服务员持卡上岗、统一合同、统一价格指导等监管制度，保障雇主和从业人员的合法权益。建立专职、兼职、钟点工、计件工等多种服务模式，打造一批优质信得过的家政服务企业和机构，满足城区居民老年生活照料、母婴护理、婴幼儿看护、家庭保洁等生活服务需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培育家庭服务人才。</w:t>
      </w:r>
      <w:r>
        <w:rPr>
          <w:rFonts w:ascii="Times New Roman" w:hAnsi="Times New Roman" w:eastAsia="仿宋_GB2312" w:cs="Times New Roman"/>
          <w:sz w:val="32"/>
          <w:szCs w:val="32"/>
        </w:rPr>
        <w:t>加大培养和培训力度，加强老年医学、老年护理、孕产妇保健、婴幼儿保育、社会工作、家政服务、健康服务等方面的专业人才队伍建设。按照国家职业技能标准和行业企业评价规范，加强从业人员的岗前培训、岗位技能提升培训、转岗转业培训和创业培训，提高从业者数量和职业技能水平。加强指导各镇（街道）和购买家庭服务工作人员提高工作技能，确保发挥好兜底保障作用。</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8" w:name="_Toc142666182"/>
      <w:r>
        <w:rPr>
          <w:rFonts w:ascii="Times New Roman" w:hAnsi="Times New Roman" w:eastAsia="仿宋_GB2312" w:cs="Times New Roman"/>
          <w:b/>
          <w:sz w:val="32"/>
          <w:szCs w:val="32"/>
        </w:rPr>
        <w:t>3.提升家庭自我发展能力</w:t>
      </w:r>
      <w:bookmarkEnd w:id="48"/>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提升家庭卫生保健能力。</w:t>
      </w:r>
      <w:r>
        <w:rPr>
          <w:rFonts w:ascii="Times New Roman" w:hAnsi="Times New Roman" w:eastAsia="仿宋_GB2312" w:cs="Times New Roman"/>
          <w:sz w:val="32"/>
          <w:szCs w:val="32"/>
        </w:rPr>
        <w:t>贯彻执行国家省市爱国卫生运动、健康中国、健康广东行动，加强医疗卫生宣教工作，增强家庭成员的卫生保健意识，提升家庭成员的健康自我管理能力、自我保健能力与健康素养水平。全面推进社区医院建设，优先覆盖老年人、孕产妇、儿童、残疾人等群体，以及高血压、糖尿病、结核病等慢性疾病和严重精神障碍患者。依托居委会、村委会等基层力量提供家庭卫生防疫、健康保健、家庭急救、消防自救等方面指导培训，提升家庭成员的防疫保健和应急能力，提升家庭慢病管理和残疾康复质量。</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提升家庭儿童抚育能力。</w:t>
      </w:r>
      <w:r>
        <w:rPr>
          <w:rFonts w:ascii="Times New Roman" w:hAnsi="Times New Roman" w:eastAsia="仿宋_GB2312" w:cs="Times New Roman"/>
          <w:sz w:val="32"/>
          <w:szCs w:val="32"/>
        </w:rPr>
        <w:t>优化完善婚嫁、生育、养育、教育公共服务，切实解决育龄群众生、养、育难题。提升孕产妇卫生保健水平，围绕孕前、孕期、分娩到分娩后全生育过程，依托社区卫生院、妇幼保健院等机构为孕产妇提供安全、公平、可及、实惠的基本医疗保健服务。发展社区和普惠型托幼服务，引导专业化育儿、托幼机构进社区、进家庭，提升婴幼儿照护水平。实施免费科学育儿指导服务，组织开展科学育儿专题讲座，向家长普及科学育儿知识，帮助其树立正确的生育、养育观念，提升家庭婴幼儿照护和科学育儿能力。</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提升家庭养老照护能力。</w:t>
      </w:r>
      <w:r>
        <w:rPr>
          <w:rFonts w:ascii="Times New Roman" w:hAnsi="Times New Roman" w:eastAsia="仿宋_GB2312" w:cs="Times New Roman"/>
          <w:sz w:val="32"/>
          <w:szCs w:val="32"/>
        </w:rPr>
        <w:t>发展养老服务联合体，健全居家养老服务监管制度，支持根据老年人健康状况在居家、社区、机构间接续养老。优化居家社区养老服务，实施基础设施适老化改造工程，推进各行业各领域实现适老化转型升级。发展社区养老服务网络，为居家老人、留守老人、空巢老人、孤寡老人、失能、失智等老人提供医养结合服务以及必要的医疗护理服务，强化助餐、助洁、助行、助浴、助医等护理服务，提高老年人家庭健康管理服务水平。</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49" w:name="_Toc142666183"/>
      <w:r>
        <w:rPr>
          <w:rFonts w:ascii="Times New Roman" w:hAnsi="Times New Roman" w:eastAsia="仿宋_GB2312" w:cs="Times New Roman"/>
          <w:b/>
          <w:sz w:val="32"/>
          <w:szCs w:val="32"/>
        </w:rPr>
        <w:t>4.传承良好家庭家教家风</w:t>
      </w:r>
      <w:bookmarkEnd w:id="49"/>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贯彻落实习近平总书记关于“注重家庭、注重家教、注重家风”系列重要讲话精神，推动家庭文明、家庭美德建设。弘扬中华民族家庭美德，树立新时代家庭观，推动形成爱国爱家、尊老爱幼、亲友睦邻、男女平等的家庭文明新风尚。建立稳定的夫妻关系、良好的亲子关系、和谐的代际关系、友好的邻里关系。持续做好家庭文明建设示范点、最美家庭、文明家庭、书香家庭等创建申报活动。开展婚姻家庭矛盾纠纷排查化解行动，倡导婚姻自由平等、生殖健康、优生优育、性别平等、共同参与家庭事务的观念。组织开展家风、家教主题宣传教育活动，加强对家庭成员合理饮食、疾病预防、应急救援的科学指导，促进家庭可持续发展。倡导文明、健康、和睦的家庭生活方式，引领广大家庭树立良好家风，构建新型家庭文化。</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50" w:name="_Toc142666184"/>
      <w:r>
        <w:rPr>
          <w:rFonts w:ascii="Times New Roman" w:hAnsi="Times New Roman" w:eastAsia="楷体_GB2312" w:cs="Times New Roman"/>
          <w:sz w:val="32"/>
          <w:szCs w:val="32"/>
        </w:rPr>
        <w:t>（八）加快数字改造，实现人口数智治理</w:t>
      </w:r>
      <w:bookmarkEnd w:id="50"/>
    </w:p>
    <w:p>
      <w:pPr>
        <w:pStyle w:val="14"/>
        <w:adjustRightInd w:val="0"/>
        <w:snapToGrid w:val="0"/>
        <w:spacing w:line="580" w:lineRule="exact"/>
        <w:ind w:left="0" w:leftChars="0"/>
        <w:rPr>
          <w:rFonts w:ascii="Times New Roman" w:hAnsi="Times New Roman" w:eastAsia="仿宋_GB2312" w:cs="Times New Roman"/>
          <w:kern w:val="0"/>
        </w:rPr>
      </w:pPr>
      <w:r>
        <w:rPr>
          <w:rFonts w:ascii="Times New Roman" w:hAnsi="Times New Roman" w:eastAsia="仿宋_GB2312" w:cs="Times New Roman"/>
          <w:kern w:val="0"/>
        </w:rPr>
        <w:t xml:space="preserve">  聚焦城区当前人口管理工作面临的挑战，结合当前城市治理数字化转型，统筹运用数字化技术、数字化思维、数字化认知，不断加大数字化、智能化在城区社会治理中运用的力度和深度，让人口管理更精细、更高效。</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51" w:name="_Toc142666185"/>
      <w:r>
        <w:rPr>
          <w:rFonts w:ascii="Times New Roman" w:hAnsi="Times New Roman" w:eastAsia="仿宋_GB2312" w:cs="Times New Roman"/>
          <w:b/>
          <w:sz w:val="32"/>
          <w:szCs w:val="32"/>
        </w:rPr>
        <w:t>1.加强人口基础信息建设</w:t>
      </w:r>
      <w:bookmarkEnd w:id="51"/>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bCs/>
          <w:sz w:val="32"/>
          <w:szCs w:val="32"/>
        </w:rPr>
        <w:t>搭建全区人口综合信息平台。</w:t>
      </w:r>
      <w:r>
        <w:rPr>
          <w:rFonts w:ascii="Times New Roman" w:hAnsi="Times New Roman" w:eastAsia="仿宋_GB2312"/>
          <w:sz w:val="32"/>
          <w:szCs w:val="32"/>
        </w:rPr>
        <w:t>整合卫生健康资源，加强与公安、民政、教育、人社、医保、统计、电信等部门数据信息共建共享，搭建智慧人口管理服务信息系统，实现人口基础数据的实时共享。统筹社会组织、商业服务和居民消费等信息资源，实现跨部门、跨地区人口基础信息的共建共享、互联互通、动态更新和综合应用集成，全面、准确把握人口规模、人口质量、人口结构、人口分布的现状和变动趋势，为人口服务管理及相关政策制定提供信息支持。</w:t>
      </w: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52" w:name="_Toc142666186"/>
      <w:r>
        <w:rPr>
          <w:rFonts w:ascii="Times New Roman" w:hAnsi="Times New Roman" w:eastAsia="仿宋_GB2312" w:cs="Times New Roman"/>
          <w:b/>
          <w:sz w:val="32"/>
          <w:szCs w:val="32"/>
        </w:rPr>
        <w:t>2.推动人口信息数智管理</w:t>
      </w:r>
      <w:bookmarkEnd w:id="52"/>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在人口普查和抽样调查的基础上，开展区内人口变动中长期预测，为区域规划和可持续发展提供重要依据。以</w:t>
      </w:r>
      <w:r>
        <w:rPr>
          <w:rFonts w:ascii="Times New Roman" w:hAnsi="Times New Roman" w:eastAsia="仿宋_GB2312" w:cs="Times New Roman"/>
          <w:kern w:val="0"/>
          <w:sz w:val="32"/>
          <w:szCs w:val="32"/>
        </w:rPr>
        <w:t>“民情地图”</w:t>
      </w:r>
      <w:r>
        <w:rPr>
          <w:rFonts w:ascii="Times New Roman" w:hAnsi="Times New Roman" w:eastAsia="仿宋_GB2312" w:cs="Times New Roman"/>
          <w:sz w:val="32"/>
          <w:szCs w:val="32"/>
        </w:rPr>
        <w:t xml:space="preserve">为依托，以“四数联动”为抓手，高质量建设“数字政府”，充分运用5G、大数据、物联网、人工智能等新一代信息化技术和人口预测前沿技术方法，实现建立常态化的人口预测预报机制建设。健全人口动态监测和评估体系，科学监测和评估人口变动情况及趋势影响。健全人口动态监测预测制度，科学监测和评估人口总量、育龄妇女、出生人口、劳动人口、老龄人口和流动人口等人口变动情况，建立常态化的人口预测预报机制，定期发布全区人口预测报告。推进分区域、分教育水平、按行业分就业状况的人口预测预报工作，开展重大决策人口影响评估，科学预测和分析人口因素对重大决策、重大改革和重大工程建设的影响，促进相关经济社会政策与人口政策有效衔接，便于为城乡居民提供系统化、连续性、全过程、精准化服务。 </w:t>
      </w:r>
    </w:p>
    <w:p>
      <w:pPr>
        <w:pStyle w:val="2"/>
        <w:rPr>
          <w:rFonts w:ascii="Times New Roman" w:hAnsi="Times New Roman" w:cs="Times New Roman"/>
          <w:lang w:eastAsia="zh-CN"/>
        </w:rPr>
      </w:pP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9045"/>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9045" w:type="dxa"/>
            <w:tcBorders>
              <w:top w:val="single" w:color="000000" w:sz="8" w:space="0"/>
              <w:bottom w:val="single" w:color="auto" w:sz="4" w:space="0"/>
            </w:tcBorders>
            <w:shd w:val="clear" w:color="auto" w:fill="D0CECE" w:themeFill="background2" w:themeFillShade="E6"/>
          </w:tcPr>
          <w:p>
            <w:pPr>
              <w:jc w:val="center"/>
              <w:rPr>
                <w:rFonts w:ascii="Times New Roman" w:hAnsi="Times New Roman" w:eastAsia="楷体_GB2312" w:cs="Times New Roman"/>
                <w:b/>
                <w:bCs/>
                <w:color w:val="000000"/>
                <w:sz w:val="32"/>
                <w:szCs w:val="32"/>
              </w:rPr>
            </w:pPr>
            <w:bookmarkStart w:id="53" w:name="_Toc74906474"/>
            <w:bookmarkStart w:id="54" w:name="_Toc74905090"/>
            <w:r>
              <w:rPr>
                <w:rFonts w:ascii="Times New Roman" w:hAnsi="Times New Roman" w:eastAsia="楷体_GB2312" w:cs="Times New Roman"/>
                <w:b/>
                <w:bCs/>
                <w:color w:val="000000"/>
                <w:sz w:val="32"/>
                <w:szCs w:val="32"/>
              </w:rPr>
              <w:t>专栏8-1   实施智慧人口</w:t>
            </w:r>
            <w:bookmarkEnd w:id="53"/>
            <w:bookmarkEnd w:id="54"/>
            <w:r>
              <w:rPr>
                <w:rFonts w:ascii="Times New Roman" w:hAnsi="Times New Roman" w:eastAsia="楷体_GB2312" w:cs="Times New Roman"/>
                <w:b/>
                <w:bCs/>
                <w:color w:val="000000"/>
                <w:sz w:val="32"/>
                <w:szCs w:val="32"/>
              </w:rPr>
              <w:t>数字治理行动</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9045" w:type="dxa"/>
            <w:tcBorders>
              <w:top w:val="single" w:color="auto" w:sz="4" w:space="0"/>
            </w:tcBorders>
          </w:tcPr>
          <w:p>
            <w:pPr>
              <w:spacing w:line="560" w:lineRule="exact"/>
              <w:ind w:firstLine="482"/>
              <w:rPr>
                <w:rFonts w:ascii="Times New Roman" w:hAnsi="Times New Roman" w:eastAsia="仿宋_GB2312" w:cs="Times New Roman"/>
                <w:sz w:val="28"/>
                <w:szCs w:val="28"/>
              </w:rPr>
            </w:pPr>
            <w:r>
              <w:rPr>
                <w:rFonts w:ascii="Times New Roman" w:hAnsi="Times New Roman" w:eastAsia="仿宋_GB2312" w:cs="Times New Roman"/>
                <w:b/>
                <w:sz w:val="28"/>
                <w:szCs w:val="28"/>
              </w:rPr>
              <w:t>全力绘好城区“民情地图”</w:t>
            </w:r>
            <w:r>
              <w:rPr>
                <w:rFonts w:ascii="Times New Roman" w:hAnsi="Times New Roman" w:eastAsia="仿宋_GB2312" w:cs="Times New Roman"/>
                <w:sz w:val="28"/>
                <w:szCs w:val="28"/>
              </w:rPr>
              <w:t>。以基层人口网格化管理模式为基础，用信息化、数字化手段赋能基层治理工作。以“善美民情”、“善美网格”、“善美村居”三大“民情地图”应用为基础，建成以数字化、网络化、智能化为主要特征的城区“智慧人口”平台，完善全员人口信息数据库，建立与相关部门信息资源交换与共享的通道，推动信息共享机制建设。</w:t>
            </w:r>
          </w:p>
          <w:p>
            <w:pPr>
              <w:spacing w:line="560" w:lineRule="exact"/>
              <w:ind w:firstLine="482"/>
              <w:rPr>
                <w:rFonts w:ascii="Times New Roman" w:hAnsi="Times New Roman" w:eastAsia="仿宋_GB2312" w:cs="Times New Roman"/>
                <w:sz w:val="28"/>
                <w:szCs w:val="28"/>
              </w:rPr>
            </w:pPr>
            <w:r>
              <w:rPr>
                <w:rFonts w:ascii="Times New Roman" w:hAnsi="Times New Roman" w:eastAsia="仿宋_GB2312" w:cs="Times New Roman"/>
                <w:b/>
                <w:sz w:val="28"/>
                <w:szCs w:val="28"/>
              </w:rPr>
              <w:t>“四数联动”，推动城区数字治理。</w:t>
            </w:r>
            <w:r>
              <w:rPr>
                <w:rFonts w:ascii="Times New Roman" w:hAnsi="Times New Roman" w:eastAsia="仿宋_GB2312" w:cs="Times New Roman"/>
                <w:sz w:val="28"/>
                <w:szCs w:val="28"/>
              </w:rPr>
              <w:t>充分运用5G、大数据、物联网、人工智能等新一代信息化技术，深入推进我区数字政府改革建设，以公共服务、产业发展、综合治理、政府运行和基础设施为发展重点，为群众提供生产、生活、生育等各方面的服务，如民情实报、网上办证、享受优惠政策、上门服务等便民利民惠民服务。</w:t>
            </w:r>
          </w:p>
          <w:p>
            <w:pPr>
              <w:spacing w:line="560" w:lineRule="exact"/>
              <w:ind w:firstLine="482"/>
              <w:rPr>
                <w:rFonts w:ascii="Times New Roman" w:hAnsi="Times New Roman" w:eastAsia="仿宋_GB2312" w:cs="Times New Roman"/>
                <w:sz w:val="24"/>
                <w:szCs w:val="24"/>
              </w:rPr>
            </w:pPr>
            <w:r>
              <w:rPr>
                <w:rFonts w:ascii="Times New Roman" w:hAnsi="Times New Roman" w:eastAsia="仿宋_GB2312" w:cs="Times New Roman"/>
                <w:b/>
                <w:sz w:val="28"/>
                <w:szCs w:val="28"/>
              </w:rPr>
              <w:t>数据共享，实现智能宏观决策。</w:t>
            </w:r>
            <w:r>
              <w:rPr>
                <w:rFonts w:ascii="Times New Roman" w:hAnsi="Times New Roman" w:eastAsia="仿宋_GB2312" w:cs="Times New Roman"/>
                <w:sz w:val="28"/>
                <w:szCs w:val="28"/>
              </w:rPr>
              <w:t>建设智能人口信息交互、智能人口出生预测预报、智能人口地理信息等应用系统，实现统计分析、辅助决策、战略研究等的智慧化运行，实现全域人口精准管理，促使人口信息化与城市经济社会各方面深度融合。</w:t>
            </w:r>
          </w:p>
        </w:tc>
      </w:tr>
    </w:tbl>
    <w:p>
      <w:pPr>
        <w:pStyle w:val="2"/>
        <w:rPr>
          <w:rFonts w:ascii="Times New Roman" w:hAnsi="Times New Roman" w:cs="Times New Roman"/>
          <w:lang w:eastAsia="zh-CN"/>
        </w:rPr>
      </w:pPr>
    </w:p>
    <w:p>
      <w:pPr>
        <w:adjustRightInd w:val="0"/>
        <w:snapToGrid w:val="0"/>
        <w:spacing w:line="580" w:lineRule="exact"/>
        <w:ind w:firstLine="640" w:firstLineChars="200"/>
        <w:outlineLvl w:val="2"/>
        <w:rPr>
          <w:rFonts w:ascii="Times New Roman" w:hAnsi="Times New Roman" w:eastAsia="仿宋_GB2312" w:cs="Times New Roman"/>
          <w:b/>
          <w:sz w:val="32"/>
          <w:szCs w:val="32"/>
        </w:rPr>
      </w:pPr>
      <w:bookmarkStart w:id="55" w:name="_Toc142666187"/>
      <w:r>
        <w:rPr>
          <w:rFonts w:ascii="Times New Roman" w:hAnsi="Times New Roman" w:eastAsia="仿宋_GB2312" w:cs="Times New Roman"/>
          <w:b/>
          <w:sz w:val="32"/>
          <w:szCs w:val="32"/>
        </w:rPr>
        <w:t>3.优化人口社会治理机制</w:t>
      </w:r>
      <w:bookmarkEnd w:id="55"/>
    </w:p>
    <w:p>
      <w:pPr>
        <w:pStyle w:val="16"/>
        <w:shd w:val="clear" w:color="auto" w:fill="FFFFFF"/>
        <w:adjustRightInd w:val="0"/>
        <w:snapToGrid w:val="0"/>
        <w:spacing w:beforeAutospacing="0" w:afterAutospacing="0" w:line="580" w:lineRule="exact"/>
        <w:ind w:firstLine="643"/>
        <w:jc w:val="both"/>
        <w:rPr>
          <w:rFonts w:ascii="Times New Roman" w:hAnsi="Times New Roman" w:eastAsia="仿宋_GB2312"/>
          <w:sz w:val="32"/>
          <w:szCs w:val="32"/>
        </w:rPr>
      </w:pPr>
      <w:r>
        <w:rPr>
          <w:rFonts w:ascii="Times New Roman" w:hAnsi="Times New Roman" w:eastAsia="仿宋_GB2312"/>
          <w:sz w:val="32"/>
          <w:szCs w:val="32"/>
        </w:rPr>
        <w:t>贯彻落实《广东省推进民政领域基层社会治理体系和治理能力现代化的若干措施》，创新服务方式，丰富服务内容，把更多资源下沉到基层，提升社区基本公共服务精准化、精细化、专业化、便捷化、信息化水平。统筹整合城乡社区公共服务设施建设，健全设施管理服务机制。完善村（社区）党群服务活动中心政务办事、议事协商、居家养老、妇女儿童服务、助残服务、特殊人群帮扶、外来人口融入、社会心理服务、文娱体育等综合服务功能，建立健全社区服务评价机制。充分发挥社区社会组织在基层社区治理中的作用，建立多元参与的社区治理机制。继续完善城市社区协同治理服务，以城市物业管理小区为平台，探索城市社区建立“社区党组织+居民委员会+业主委员会+物业服务企业+各类社会组织”的红色物业联盟服务平台，推动城市社区治理发展。</w:t>
      </w:r>
    </w:p>
    <w:p>
      <w:pPr>
        <w:adjustRightInd w:val="0"/>
        <w:snapToGrid w:val="0"/>
        <w:spacing w:line="580" w:lineRule="exact"/>
        <w:ind w:firstLine="640" w:firstLineChars="200"/>
        <w:outlineLvl w:val="0"/>
        <w:rPr>
          <w:rFonts w:ascii="Times New Roman" w:hAnsi="Times New Roman" w:eastAsia="黑体" w:cs="Times New Roman"/>
          <w:sz w:val="32"/>
          <w:szCs w:val="32"/>
        </w:rPr>
      </w:pPr>
      <w:bookmarkStart w:id="56" w:name="_Toc142666188"/>
      <w:r>
        <w:rPr>
          <w:rFonts w:ascii="Times New Roman" w:hAnsi="Times New Roman" w:eastAsia="黑体" w:cs="Times New Roman"/>
          <w:sz w:val="32"/>
          <w:szCs w:val="32"/>
        </w:rPr>
        <w:t>四、保障措施</w:t>
      </w:r>
      <w:bookmarkEnd w:id="56"/>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57" w:name="_Toc142666189"/>
      <w:r>
        <w:rPr>
          <w:rFonts w:ascii="Times New Roman" w:hAnsi="Times New Roman" w:eastAsia="楷体_GB2312" w:cs="Times New Roman"/>
          <w:sz w:val="32"/>
          <w:szCs w:val="32"/>
        </w:rPr>
        <w:t>（一）加强组织领导工作</w:t>
      </w:r>
      <w:bookmarkEnd w:id="57"/>
    </w:p>
    <w:p>
      <w:pPr>
        <w:adjustRightInd w:val="0"/>
        <w:snapToGrid w:val="0"/>
        <w:spacing w:line="58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color w:val="000000"/>
          <w:sz w:val="32"/>
          <w:szCs w:val="32"/>
          <w:shd w:val="clear" w:color="auto" w:fill="FFFFFF"/>
        </w:rPr>
        <w:t>建立健全促进人口发展工作协调机制，坚持党政主要负责人亲自抓、负总责，各</w:t>
      </w:r>
      <w:r>
        <w:rPr>
          <w:rFonts w:hint="eastAsia" w:ascii="Times New Roman" w:hAnsi="Times New Roman" w:eastAsia="仿宋_GB2312" w:cs="Times New Roman"/>
          <w:color w:val="000000"/>
          <w:sz w:val="32"/>
          <w:szCs w:val="32"/>
          <w:shd w:val="clear" w:color="auto" w:fill="FFFFFF"/>
          <w:lang w:eastAsia="zh-CN"/>
        </w:rPr>
        <w:t>镇（街道）</w:t>
      </w:r>
      <w:r>
        <w:rPr>
          <w:rFonts w:ascii="Times New Roman" w:hAnsi="Times New Roman" w:eastAsia="仿宋_GB2312" w:cs="Times New Roman"/>
          <w:color w:val="000000"/>
          <w:sz w:val="32"/>
          <w:szCs w:val="32"/>
          <w:shd w:val="clear" w:color="auto" w:fill="FFFFFF"/>
        </w:rPr>
        <w:t>及各部门要加强规划实施的组织、协调和落实，</w:t>
      </w:r>
      <w:r>
        <w:rPr>
          <w:rFonts w:ascii="Times New Roman" w:hAnsi="Times New Roman" w:eastAsia="仿宋_GB2312" w:cs="Times New Roman"/>
          <w:sz w:val="32"/>
          <w:szCs w:val="32"/>
          <w:shd w:val="clear" w:color="auto" w:fill="FFFFFF"/>
        </w:rPr>
        <w:t>把人口发展目标任务完成情况纳入党政领导班子和领导干部综合考核。健全和完善党政统筹、部门协调、社会协同、公众参与的人口工作机制，确保责任到位、投入到位、落实到位</w:t>
      </w:r>
      <w:r>
        <w:rPr>
          <w:rFonts w:ascii="Times New Roman" w:hAnsi="Times New Roman" w:eastAsia="仿宋_GB2312" w:cs="Times New Roman"/>
          <w:color w:val="000000"/>
          <w:sz w:val="32"/>
          <w:szCs w:val="32"/>
          <w:shd w:val="clear" w:color="auto" w:fill="FFFFFF"/>
        </w:rPr>
        <w:t>，促进人口长期均衡发展</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color w:val="000000"/>
          <w:sz w:val="32"/>
          <w:szCs w:val="32"/>
          <w:shd w:val="clear" w:color="auto" w:fill="FFFFFF"/>
        </w:rPr>
        <w:t>各</w:t>
      </w:r>
      <w:r>
        <w:rPr>
          <w:rFonts w:hint="eastAsia" w:ascii="Times New Roman" w:hAnsi="Times New Roman" w:eastAsia="仿宋_GB2312" w:cs="Times New Roman"/>
          <w:color w:val="000000"/>
          <w:sz w:val="32"/>
          <w:szCs w:val="32"/>
          <w:shd w:val="clear" w:color="auto" w:fill="FFFFFF"/>
          <w:lang w:eastAsia="zh-CN"/>
        </w:rPr>
        <w:t>镇（街道）</w:t>
      </w:r>
      <w:r>
        <w:rPr>
          <w:rFonts w:ascii="Times New Roman" w:hAnsi="Times New Roman" w:eastAsia="仿宋_GB2312" w:cs="Times New Roman"/>
          <w:color w:val="000000"/>
          <w:sz w:val="32"/>
          <w:szCs w:val="32"/>
          <w:shd w:val="clear" w:color="auto" w:fill="FFFFFF"/>
        </w:rPr>
        <w:t>及各部门要</w:t>
      </w:r>
      <w:r>
        <w:rPr>
          <w:rFonts w:ascii="Times New Roman" w:hAnsi="Times New Roman" w:eastAsia="仿宋_GB2312" w:cs="Times New Roman"/>
          <w:sz w:val="32"/>
          <w:szCs w:val="32"/>
          <w:shd w:val="clear" w:color="auto" w:fill="FFFFFF"/>
        </w:rPr>
        <w:t>根据规划，从实际出发，</w:t>
      </w:r>
      <w:r>
        <w:rPr>
          <w:rFonts w:ascii="Times New Roman" w:hAnsi="Times New Roman" w:eastAsia="仿宋_GB2312" w:cs="Times New Roman"/>
          <w:color w:val="000000"/>
          <w:sz w:val="32"/>
          <w:szCs w:val="32"/>
          <w:shd w:val="clear" w:color="auto" w:fill="FFFFFF"/>
        </w:rPr>
        <w:t>研究制定配套政策和实施方案，</w:t>
      </w:r>
      <w:r>
        <w:rPr>
          <w:rFonts w:ascii="Times New Roman" w:hAnsi="Times New Roman" w:eastAsia="仿宋_GB2312" w:cs="Times New Roman"/>
          <w:sz w:val="32"/>
          <w:szCs w:val="32"/>
          <w:shd w:val="clear" w:color="auto" w:fill="FFFFFF"/>
        </w:rPr>
        <w:t>出台更多有利于促进人口长期均衡发展的政策措施，不断完善人口发展政策体系，</w:t>
      </w:r>
      <w:r>
        <w:rPr>
          <w:rFonts w:ascii="Times New Roman" w:hAnsi="Times New Roman" w:eastAsia="仿宋_GB2312" w:cs="Times New Roman"/>
          <w:color w:val="000000"/>
          <w:sz w:val="32"/>
          <w:szCs w:val="32"/>
          <w:shd w:val="clear" w:color="auto" w:fill="FFFFFF"/>
        </w:rPr>
        <w:t>统筹社会公共服务资源，推动人口规划实施。</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58" w:name="_Toc142666190"/>
      <w:r>
        <w:rPr>
          <w:rFonts w:ascii="Times New Roman" w:hAnsi="Times New Roman" w:eastAsia="楷体_GB2312" w:cs="Times New Roman"/>
          <w:sz w:val="32"/>
          <w:szCs w:val="32"/>
        </w:rPr>
        <w:t>（二）加大人口事业投入</w:t>
      </w:r>
      <w:bookmarkEnd w:id="58"/>
    </w:p>
    <w:p>
      <w:pPr>
        <w:pStyle w:val="16"/>
        <w:shd w:val="clear" w:color="auto" w:fill="FFFFFF"/>
        <w:adjustRightInd w:val="0"/>
        <w:snapToGrid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建立健全以政府财政投入为主，以社会资本为辅的多渠道投融资体制机制，逐步形成分类保障、分级负担、城乡统筹、稳定增长的人口发展财力支撑，切实保障常住人口基本公共服务所需的医疗卫生、就业补助、社保民生、教育经费等以及法律法规规定的其他必要投入。</w:t>
      </w:r>
      <w:r>
        <w:rPr>
          <w:rFonts w:ascii="Times New Roman" w:hAnsi="Times New Roman" w:eastAsia="仿宋_GB2312"/>
          <w:color w:val="000000"/>
          <w:sz w:val="32"/>
          <w:szCs w:val="32"/>
          <w:shd w:val="clear" w:color="auto" w:fill="FFFFFF"/>
        </w:rPr>
        <w:t>建立政府、社会、用人单位和个人多元投入体系，</w:t>
      </w:r>
      <w:r>
        <w:rPr>
          <w:rFonts w:ascii="Times New Roman" w:hAnsi="Times New Roman" w:eastAsia="仿宋_GB2312"/>
          <w:sz w:val="32"/>
          <w:szCs w:val="32"/>
        </w:rPr>
        <w:t>形成社会机构及资本服务于人口发展事业的联动机制。动员社会资源参与人口工作，引导社会资本投入基础教育、就业培训、医疗服务、养老服务、社会保障等人口发展领域，逐步形成良性循环的社会投入结构。</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59" w:name="_Toc142666191"/>
      <w:r>
        <w:rPr>
          <w:rFonts w:ascii="Times New Roman" w:hAnsi="Times New Roman" w:eastAsia="楷体_GB2312" w:cs="Times New Roman"/>
          <w:sz w:val="32"/>
          <w:szCs w:val="32"/>
        </w:rPr>
        <w:t>（三）注重人口监测预警</w:t>
      </w:r>
      <w:bookmarkEnd w:id="59"/>
    </w:p>
    <w:p>
      <w:pPr>
        <w:pStyle w:val="14"/>
        <w:adjustRightInd w:val="0"/>
        <w:snapToGrid w:val="0"/>
        <w:spacing w:line="580" w:lineRule="exact"/>
        <w:ind w:left="0" w:leftChars="0" w:firstLine="640" w:firstLineChars="200"/>
        <w:rPr>
          <w:rFonts w:ascii="Times New Roman" w:hAnsi="Times New Roman" w:eastAsia="仿宋_GB2312" w:cs="Times New Roman"/>
          <w:shd w:val="clear" w:color="auto" w:fill="FFFFFF"/>
        </w:rPr>
      </w:pPr>
      <w:r>
        <w:rPr>
          <w:rFonts w:ascii="Times New Roman" w:hAnsi="Times New Roman" w:eastAsia="仿宋_GB2312" w:cs="Times New Roman"/>
          <w:shd w:val="clear" w:color="auto" w:fill="FFFFFF"/>
        </w:rPr>
        <w:t xml:space="preserve">推动人口健康信息化建设，加强人口基础信息采集和统计工作，加快全区人口基础信息库建设，不断拓宽数据信息共享和应用的范围。推进大数据在人口规划和管理领域的应用创新与开发共享，为政府部门、企事业单位、社会公众提供高质量人口信息服务。建立健全覆盖全人群全生命周期的人口监测体系，科学监测和系统评估人口变动情况及趋势影响。建立健全人口预测预警制度，增强预测预警的科学性、实效性，为经济社会发展提供人口动态信息，为科学决策、加强人口综合服务管理提供科学支撑。 </w:t>
      </w:r>
    </w:p>
    <w:p>
      <w:pPr>
        <w:adjustRightInd w:val="0"/>
        <w:snapToGrid w:val="0"/>
        <w:spacing w:line="580" w:lineRule="exact"/>
        <w:ind w:firstLine="640" w:firstLineChars="200"/>
        <w:outlineLvl w:val="1"/>
        <w:rPr>
          <w:rFonts w:ascii="Times New Roman" w:hAnsi="Times New Roman" w:eastAsia="楷体_GB2312" w:cs="Times New Roman"/>
          <w:sz w:val="32"/>
          <w:szCs w:val="32"/>
        </w:rPr>
      </w:pPr>
      <w:bookmarkStart w:id="60" w:name="_Toc142666192"/>
      <w:r>
        <w:rPr>
          <w:rFonts w:ascii="Times New Roman" w:hAnsi="Times New Roman" w:eastAsia="楷体_GB2312" w:cs="Times New Roman"/>
          <w:sz w:val="32"/>
          <w:szCs w:val="32"/>
        </w:rPr>
        <w:t>（四）做好宣传教育引导</w:t>
      </w:r>
      <w:bookmarkEnd w:id="60"/>
    </w:p>
    <w:p>
      <w:pPr>
        <w:pStyle w:val="16"/>
        <w:shd w:val="clear" w:color="auto" w:fill="FFFFFF"/>
        <w:adjustRightInd w:val="0"/>
        <w:snapToGrid w:val="0"/>
        <w:spacing w:beforeAutospacing="0" w:afterAutospacing="0" w:line="580" w:lineRule="exact"/>
        <w:ind w:firstLine="640" w:firstLineChars="200"/>
        <w:jc w:val="both"/>
        <w:rPr>
          <w:rFonts w:ascii="Times New Roman" w:hAnsi="Times New Roman" w:eastAsia="仿宋_GB2312"/>
          <w:kern w:val="2"/>
          <w:sz w:val="32"/>
          <w:szCs w:val="32"/>
          <w:shd w:val="clear" w:color="auto" w:fill="FFFFFF"/>
        </w:rPr>
      </w:pPr>
      <w:r>
        <w:rPr>
          <w:rFonts w:ascii="Times New Roman" w:hAnsi="Times New Roman" w:eastAsia="仿宋_GB2312"/>
          <w:sz w:val="32"/>
          <w:szCs w:val="32"/>
        </w:rPr>
        <w:t>充分发挥广播、电视、图书、报刊、互联网和新媒体等各类平台作用，</w:t>
      </w:r>
      <w:r>
        <w:rPr>
          <w:rFonts w:ascii="Times New Roman" w:hAnsi="Times New Roman" w:eastAsia="仿宋_GB2312"/>
          <w:kern w:val="2"/>
          <w:sz w:val="32"/>
          <w:szCs w:val="32"/>
          <w:shd w:val="clear" w:color="auto" w:fill="FFFFFF"/>
        </w:rPr>
        <w:t>加大城区人口区情、人口规划和人口政策的宣传解读，引导全社会正确认识人口形势的变化和优化生育政策的重大意义，精心策划通俗易懂、形式新颖的宣传素材，广泛开展宣传活动，使新政策家喻户晓、深入人心。建立城区舆情搜集、研判和应对制度，及时发现和化解人口规划及政策实施过程中出现的矛盾和问题，</w:t>
      </w:r>
      <w:r>
        <w:rPr>
          <w:rFonts w:ascii="Times New Roman" w:hAnsi="Times New Roman" w:eastAsia="仿宋_GB2312"/>
          <w:sz w:val="32"/>
          <w:szCs w:val="32"/>
        </w:rPr>
        <w:t>强化正面宣传、舆论监督、科学引导和典型报道，合理引导社会预期和舆情，促进人口均衡发展的重大部署和方针政策的实施。</w:t>
      </w:r>
      <w:r>
        <w:rPr>
          <w:rFonts w:ascii="Times New Roman" w:hAnsi="Times New Roman" w:eastAsia="仿宋_GB2312"/>
          <w:kern w:val="2"/>
          <w:sz w:val="32"/>
          <w:szCs w:val="32"/>
          <w:shd w:val="clear" w:color="auto" w:fill="FFFFFF"/>
        </w:rPr>
        <w:t>大力宣传与人口发展相关的一系列法律法规，不断增强当地人口法律法规意识，养成知法、懂法、守法、用法、护法的良好氛围。</w:t>
      </w:r>
    </w:p>
    <w:p>
      <w:pPr>
        <w:snapToGrid w:val="0"/>
        <w:spacing w:line="580" w:lineRule="exact"/>
        <w:rPr>
          <w:rFonts w:ascii="Times New Roman" w:hAnsi="Times New Roman" w:eastAsia="仿宋_GB2312" w:cs="Times New Roman"/>
          <w:sz w:val="32"/>
          <w:szCs w:val="32"/>
        </w:rPr>
      </w:pPr>
    </w:p>
    <w:p>
      <w:pPr>
        <w:snapToGrid w:val="0"/>
        <w:spacing w:line="580" w:lineRule="exact"/>
        <w:rPr>
          <w:rFonts w:ascii="Times New Roman" w:hAnsi="Times New Roman" w:eastAsia="仿宋_GB2312" w:cs="Times New Roman"/>
          <w:sz w:val="32"/>
          <w:szCs w:val="32"/>
        </w:rPr>
      </w:pPr>
    </w:p>
    <w:sectPr>
      <w:headerReference r:id="rId6" w:type="default"/>
      <w:footerReference r:id="rId7" w:type="default"/>
      <w:pgSz w:w="11906" w:h="16838"/>
      <w:pgMar w:top="2098" w:right="1474" w:bottom="1985" w:left="1588" w:header="851" w:footer="992" w:gutter="0"/>
      <w:pgNumType w:fmt="numberInDash"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02"/>
    </w:sdtPr>
    <w:sdtContent>
      <w:p>
        <w:pPr>
          <w:pStyle w:val="11"/>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20B8"/>
    <w:multiLevelType w:val="singleLevel"/>
    <w:tmpl w:val="024720B8"/>
    <w:lvl w:ilvl="0" w:tentative="0">
      <w:start w:val="1"/>
      <w:numFmt w:val="chineseCounting"/>
      <w:pStyle w:val="3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zNTMwNDc1NDFhNTk2YWMxMTcwMGIwNGMwMmI4NTgifQ=="/>
  </w:docVars>
  <w:rsids>
    <w:rsidRoot w:val="00AF22C6"/>
    <w:rsid w:val="0000240D"/>
    <w:rsid w:val="00002C11"/>
    <w:rsid w:val="00003D44"/>
    <w:rsid w:val="000048FC"/>
    <w:rsid w:val="00004D2A"/>
    <w:rsid w:val="000074F7"/>
    <w:rsid w:val="00007633"/>
    <w:rsid w:val="00007FD3"/>
    <w:rsid w:val="00011909"/>
    <w:rsid w:val="0001210C"/>
    <w:rsid w:val="0001222D"/>
    <w:rsid w:val="00012FF1"/>
    <w:rsid w:val="000145AD"/>
    <w:rsid w:val="000145E2"/>
    <w:rsid w:val="00016DA8"/>
    <w:rsid w:val="0001725E"/>
    <w:rsid w:val="00020493"/>
    <w:rsid w:val="000207BC"/>
    <w:rsid w:val="00022158"/>
    <w:rsid w:val="0002386D"/>
    <w:rsid w:val="00023DF7"/>
    <w:rsid w:val="00024373"/>
    <w:rsid w:val="00024C85"/>
    <w:rsid w:val="000278D2"/>
    <w:rsid w:val="000307C5"/>
    <w:rsid w:val="00030CAF"/>
    <w:rsid w:val="00032A9F"/>
    <w:rsid w:val="000338CE"/>
    <w:rsid w:val="00033B45"/>
    <w:rsid w:val="000342E4"/>
    <w:rsid w:val="00036110"/>
    <w:rsid w:val="0003653F"/>
    <w:rsid w:val="0003782A"/>
    <w:rsid w:val="00041678"/>
    <w:rsid w:val="000430EF"/>
    <w:rsid w:val="000450BA"/>
    <w:rsid w:val="00045FF5"/>
    <w:rsid w:val="000479AD"/>
    <w:rsid w:val="000508D9"/>
    <w:rsid w:val="000519EA"/>
    <w:rsid w:val="0005301A"/>
    <w:rsid w:val="00060FBB"/>
    <w:rsid w:val="00062249"/>
    <w:rsid w:val="00062E21"/>
    <w:rsid w:val="0006374F"/>
    <w:rsid w:val="0006403F"/>
    <w:rsid w:val="000665A1"/>
    <w:rsid w:val="00067BDC"/>
    <w:rsid w:val="00072212"/>
    <w:rsid w:val="00072D83"/>
    <w:rsid w:val="0007306B"/>
    <w:rsid w:val="00075AF3"/>
    <w:rsid w:val="00076ACF"/>
    <w:rsid w:val="00077084"/>
    <w:rsid w:val="00077F03"/>
    <w:rsid w:val="00081B5E"/>
    <w:rsid w:val="00081F0A"/>
    <w:rsid w:val="000828E6"/>
    <w:rsid w:val="00082D39"/>
    <w:rsid w:val="000849E3"/>
    <w:rsid w:val="00084CAA"/>
    <w:rsid w:val="0008557F"/>
    <w:rsid w:val="00087704"/>
    <w:rsid w:val="00087BFD"/>
    <w:rsid w:val="00090C3A"/>
    <w:rsid w:val="000931A4"/>
    <w:rsid w:val="000931FB"/>
    <w:rsid w:val="00094907"/>
    <w:rsid w:val="00094C3F"/>
    <w:rsid w:val="000970F3"/>
    <w:rsid w:val="0009729D"/>
    <w:rsid w:val="000976A1"/>
    <w:rsid w:val="00097922"/>
    <w:rsid w:val="000A1A5B"/>
    <w:rsid w:val="000A2720"/>
    <w:rsid w:val="000A29DD"/>
    <w:rsid w:val="000A3E37"/>
    <w:rsid w:val="000A4F0C"/>
    <w:rsid w:val="000A5D93"/>
    <w:rsid w:val="000A6C01"/>
    <w:rsid w:val="000B03FC"/>
    <w:rsid w:val="000B0778"/>
    <w:rsid w:val="000B09C7"/>
    <w:rsid w:val="000B0C4A"/>
    <w:rsid w:val="000B1065"/>
    <w:rsid w:val="000B166F"/>
    <w:rsid w:val="000B3D1B"/>
    <w:rsid w:val="000B4089"/>
    <w:rsid w:val="000B5D03"/>
    <w:rsid w:val="000B5FE2"/>
    <w:rsid w:val="000B6BED"/>
    <w:rsid w:val="000C09CA"/>
    <w:rsid w:val="000C0E8F"/>
    <w:rsid w:val="000C1960"/>
    <w:rsid w:val="000C1ECF"/>
    <w:rsid w:val="000C3B87"/>
    <w:rsid w:val="000C4408"/>
    <w:rsid w:val="000D0833"/>
    <w:rsid w:val="000D103B"/>
    <w:rsid w:val="000D329A"/>
    <w:rsid w:val="000D36F3"/>
    <w:rsid w:val="000D4AFF"/>
    <w:rsid w:val="000D6C88"/>
    <w:rsid w:val="000D73F2"/>
    <w:rsid w:val="000E04C4"/>
    <w:rsid w:val="000E27C7"/>
    <w:rsid w:val="000E36E3"/>
    <w:rsid w:val="000E5209"/>
    <w:rsid w:val="000E5744"/>
    <w:rsid w:val="000F270F"/>
    <w:rsid w:val="000F3384"/>
    <w:rsid w:val="000F4C87"/>
    <w:rsid w:val="000F651E"/>
    <w:rsid w:val="000F777A"/>
    <w:rsid w:val="00101ED5"/>
    <w:rsid w:val="00102D26"/>
    <w:rsid w:val="00102EBB"/>
    <w:rsid w:val="00103103"/>
    <w:rsid w:val="001052DA"/>
    <w:rsid w:val="00111CCA"/>
    <w:rsid w:val="00112669"/>
    <w:rsid w:val="0011282A"/>
    <w:rsid w:val="00113260"/>
    <w:rsid w:val="001142AA"/>
    <w:rsid w:val="001163F8"/>
    <w:rsid w:val="00117406"/>
    <w:rsid w:val="00121823"/>
    <w:rsid w:val="00122625"/>
    <w:rsid w:val="00123731"/>
    <w:rsid w:val="0012564B"/>
    <w:rsid w:val="00126C15"/>
    <w:rsid w:val="00127017"/>
    <w:rsid w:val="001303C4"/>
    <w:rsid w:val="00130A37"/>
    <w:rsid w:val="00133D6F"/>
    <w:rsid w:val="0013444A"/>
    <w:rsid w:val="00134CD8"/>
    <w:rsid w:val="00142B64"/>
    <w:rsid w:val="001437D8"/>
    <w:rsid w:val="00145F50"/>
    <w:rsid w:val="001470BE"/>
    <w:rsid w:val="00147110"/>
    <w:rsid w:val="00147616"/>
    <w:rsid w:val="00151134"/>
    <w:rsid w:val="0015184B"/>
    <w:rsid w:val="001624B7"/>
    <w:rsid w:val="0016291C"/>
    <w:rsid w:val="001645DA"/>
    <w:rsid w:val="00164B3B"/>
    <w:rsid w:val="00165A20"/>
    <w:rsid w:val="00165DC8"/>
    <w:rsid w:val="00166B90"/>
    <w:rsid w:val="00167BD4"/>
    <w:rsid w:val="0017114E"/>
    <w:rsid w:val="0017251E"/>
    <w:rsid w:val="00172F98"/>
    <w:rsid w:val="0017555F"/>
    <w:rsid w:val="00175B57"/>
    <w:rsid w:val="0017793B"/>
    <w:rsid w:val="00181495"/>
    <w:rsid w:val="001821AD"/>
    <w:rsid w:val="001828DD"/>
    <w:rsid w:val="00183B34"/>
    <w:rsid w:val="00185015"/>
    <w:rsid w:val="00185722"/>
    <w:rsid w:val="001857D2"/>
    <w:rsid w:val="00186E56"/>
    <w:rsid w:val="0018762F"/>
    <w:rsid w:val="00192344"/>
    <w:rsid w:val="0019401A"/>
    <w:rsid w:val="00194366"/>
    <w:rsid w:val="00194631"/>
    <w:rsid w:val="00194CD2"/>
    <w:rsid w:val="001A2275"/>
    <w:rsid w:val="001A4244"/>
    <w:rsid w:val="001A45C5"/>
    <w:rsid w:val="001A6226"/>
    <w:rsid w:val="001B3754"/>
    <w:rsid w:val="001B6DFE"/>
    <w:rsid w:val="001B6E0E"/>
    <w:rsid w:val="001B7EB1"/>
    <w:rsid w:val="001C0ABF"/>
    <w:rsid w:val="001C0E71"/>
    <w:rsid w:val="001C246E"/>
    <w:rsid w:val="001C2D92"/>
    <w:rsid w:val="001C3A61"/>
    <w:rsid w:val="001C3C5E"/>
    <w:rsid w:val="001C4820"/>
    <w:rsid w:val="001C4A47"/>
    <w:rsid w:val="001C62D1"/>
    <w:rsid w:val="001C6EDF"/>
    <w:rsid w:val="001D106A"/>
    <w:rsid w:val="001D164D"/>
    <w:rsid w:val="001D209C"/>
    <w:rsid w:val="001D2297"/>
    <w:rsid w:val="001E0144"/>
    <w:rsid w:val="001E0B2F"/>
    <w:rsid w:val="001E13B6"/>
    <w:rsid w:val="001E16AF"/>
    <w:rsid w:val="001E185E"/>
    <w:rsid w:val="001E3282"/>
    <w:rsid w:val="001E3474"/>
    <w:rsid w:val="001E38B5"/>
    <w:rsid w:val="001E4B6A"/>
    <w:rsid w:val="001E6CE8"/>
    <w:rsid w:val="001F01AD"/>
    <w:rsid w:val="001F273F"/>
    <w:rsid w:val="001F5068"/>
    <w:rsid w:val="001F65BE"/>
    <w:rsid w:val="00200844"/>
    <w:rsid w:val="002030C4"/>
    <w:rsid w:val="00203E11"/>
    <w:rsid w:val="00204061"/>
    <w:rsid w:val="002040E8"/>
    <w:rsid w:val="002061BF"/>
    <w:rsid w:val="00206F21"/>
    <w:rsid w:val="00210376"/>
    <w:rsid w:val="002108D9"/>
    <w:rsid w:val="0021235A"/>
    <w:rsid w:val="0021373A"/>
    <w:rsid w:val="0021522C"/>
    <w:rsid w:val="00217C14"/>
    <w:rsid w:val="00220968"/>
    <w:rsid w:val="002209F2"/>
    <w:rsid w:val="00222880"/>
    <w:rsid w:val="00222F54"/>
    <w:rsid w:val="002231C5"/>
    <w:rsid w:val="002237FA"/>
    <w:rsid w:val="00223E3A"/>
    <w:rsid w:val="00224553"/>
    <w:rsid w:val="002251C2"/>
    <w:rsid w:val="002251FF"/>
    <w:rsid w:val="002267D1"/>
    <w:rsid w:val="00227600"/>
    <w:rsid w:val="0023075D"/>
    <w:rsid w:val="0023633B"/>
    <w:rsid w:val="002366A9"/>
    <w:rsid w:val="00236D4A"/>
    <w:rsid w:val="00236EEE"/>
    <w:rsid w:val="0023738F"/>
    <w:rsid w:val="00241860"/>
    <w:rsid w:val="00241A0D"/>
    <w:rsid w:val="00241E21"/>
    <w:rsid w:val="00242494"/>
    <w:rsid w:val="0024343C"/>
    <w:rsid w:val="002436F2"/>
    <w:rsid w:val="00244A47"/>
    <w:rsid w:val="002453C8"/>
    <w:rsid w:val="0024573D"/>
    <w:rsid w:val="00245F7B"/>
    <w:rsid w:val="00246E6E"/>
    <w:rsid w:val="002523C0"/>
    <w:rsid w:val="002526D4"/>
    <w:rsid w:val="00252967"/>
    <w:rsid w:val="00253E82"/>
    <w:rsid w:val="002547C3"/>
    <w:rsid w:val="00254864"/>
    <w:rsid w:val="00254A6A"/>
    <w:rsid w:val="00255C12"/>
    <w:rsid w:val="00255F61"/>
    <w:rsid w:val="0025613E"/>
    <w:rsid w:val="00256F1A"/>
    <w:rsid w:val="00257C73"/>
    <w:rsid w:val="00262C3D"/>
    <w:rsid w:val="002636FE"/>
    <w:rsid w:val="002646F3"/>
    <w:rsid w:val="00264A13"/>
    <w:rsid w:val="002650B6"/>
    <w:rsid w:val="00267245"/>
    <w:rsid w:val="00267964"/>
    <w:rsid w:val="002679BF"/>
    <w:rsid w:val="00273DEE"/>
    <w:rsid w:val="002752F3"/>
    <w:rsid w:val="00276054"/>
    <w:rsid w:val="00277639"/>
    <w:rsid w:val="00285F30"/>
    <w:rsid w:val="00287756"/>
    <w:rsid w:val="00294088"/>
    <w:rsid w:val="002A03E9"/>
    <w:rsid w:val="002A054F"/>
    <w:rsid w:val="002A0F9A"/>
    <w:rsid w:val="002A2B33"/>
    <w:rsid w:val="002A30F1"/>
    <w:rsid w:val="002A32A2"/>
    <w:rsid w:val="002A752C"/>
    <w:rsid w:val="002A7703"/>
    <w:rsid w:val="002B00A1"/>
    <w:rsid w:val="002B0C25"/>
    <w:rsid w:val="002B0E84"/>
    <w:rsid w:val="002B24BD"/>
    <w:rsid w:val="002B2694"/>
    <w:rsid w:val="002B3761"/>
    <w:rsid w:val="002B5EC6"/>
    <w:rsid w:val="002B643F"/>
    <w:rsid w:val="002B651B"/>
    <w:rsid w:val="002B65AE"/>
    <w:rsid w:val="002C38F8"/>
    <w:rsid w:val="002C464A"/>
    <w:rsid w:val="002C5D06"/>
    <w:rsid w:val="002C5D87"/>
    <w:rsid w:val="002C73A7"/>
    <w:rsid w:val="002C7F0B"/>
    <w:rsid w:val="002D21CF"/>
    <w:rsid w:val="002D258C"/>
    <w:rsid w:val="002D3D0D"/>
    <w:rsid w:val="002D3D3F"/>
    <w:rsid w:val="002D4F57"/>
    <w:rsid w:val="002D60EA"/>
    <w:rsid w:val="002D623A"/>
    <w:rsid w:val="002D6A84"/>
    <w:rsid w:val="002D6EDC"/>
    <w:rsid w:val="002D6F3A"/>
    <w:rsid w:val="002D76EB"/>
    <w:rsid w:val="002E1570"/>
    <w:rsid w:val="002E1D1D"/>
    <w:rsid w:val="002E1DA5"/>
    <w:rsid w:val="002E4721"/>
    <w:rsid w:val="002F1652"/>
    <w:rsid w:val="002F1D37"/>
    <w:rsid w:val="002F1FD1"/>
    <w:rsid w:val="002F3931"/>
    <w:rsid w:val="002F546C"/>
    <w:rsid w:val="003000F5"/>
    <w:rsid w:val="003001BC"/>
    <w:rsid w:val="00301654"/>
    <w:rsid w:val="0030425E"/>
    <w:rsid w:val="00305F35"/>
    <w:rsid w:val="00307023"/>
    <w:rsid w:val="003073E4"/>
    <w:rsid w:val="003079AE"/>
    <w:rsid w:val="00310024"/>
    <w:rsid w:val="00310CEA"/>
    <w:rsid w:val="0031156E"/>
    <w:rsid w:val="00311E55"/>
    <w:rsid w:val="00312D1F"/>
    <w:rsid w:val="00313111"/>
    <w:rsid w:val="003132F4"/>
    <w:rsid w:val="00315466"/>
    <w:rsid w:val="00315838"/>
    <w:rsid w:val="00316435"/>
    <w:rsid w:val="00316B26"/>
    <w:rsid w:val="00316BC7"/>
    <w:rsid w:val="00317F55"/>
    <w:rsid w:val="003206CF"/>
    <w:rsid w:val="00320B66"/>
    <w:rsid w:val="00324C75"/>
    <w:rsid w:val="00325718"/>
    <w:rsid w:val="003275AD"/>
    <w:rsid w:val="00331481"/>
    <w:rsid w:val="003319A7"/>
    <w:rsid w:val="0033543F"/>
    <w:rsid w:val="00335FA2"/>
    <w:rsid w:val="003375C1"/>
    <w:rsid w:val="00340B8A"/>
    <w:rsid w:val="00340C04"/>
    <w:rsid w:val="00341530"/>
    <w:rsid w:val="00341B95"/>
    <w:rsid w:val="0034214F"/>
    <w:rsid w:val="00345DFF"/>
    <w:rsid w:val="00345EEF"/>
    <w:rsid w:val="00346504"/>
    <w:rsid w:val="00347937"/>
    <w:rsid w:val="00347F16"/>
    <w:rsid w:val="003503E4"/>
    <w:rsid w:val="00350A95"/>
    <w:rsid w:val="0035169C"/>
    <w:rsid w:val="003531BF"/>
    <w:rsid w:val="0035463E"/>
    <w:rsid w:val="00355599"/>
    <w:rsid w:val="00355AA1"/>
    <w:rsid w:val="003560AA"/>
    <w:rsid w:val="003561E3"/>
    <w:rsid w:val="003575A2"/>
    <w:rsid w:val="00360667"/>
    <w:rsid w:val="00364237"/>
    <w:rsid w:val="00364A62"/>
    <w:rsid w:val="00365205"/>
    <w:rsid w:val="00365319"/>
    <w:rsid w:val="0036636D"/>
    <w:rsid w:val="00366FF2"/>
    <w:rsid w:val="003671F1"/>
    <w:rsid w:val="00371DC5"/>
    <w:rsid w:val="0037252A"/>
    <w:rsid w:val="00374444"/>
    <w:rsid w:val="0037748C"/>
    <w:rsid w:val="00380CBC"/>
    <w:rsid w:val="003817E4"/>
    <w:rsid w:val="00381FEF"/>
    <w:rsid w:val="00383186"/>
    <w:rsid w:val="003836D1"/>
    <w:rsid w:val="003877EC"/>
    <w:rsid w:val="003909A1"/>
    <w:rsid w:val="00391C38"/>
    <w:rsid w:val="003934CB"/>
    <w:rsid w:val="003939E4"/>
    <w:rsid w:val="00394478"/>
    <w:rsid w:val="0039463C"/>
    <w:rsid w:val="0039500A"/>
    <w:rsid w:val="00396A8A"/>
    <w:rsid w:val="003A5347"/>
    <w:rsid w:val="003A57B8"/>
    <w:rsid w:val="003A5C9E"/>
    <w:rsid w:val="003A5EE2"/>
    <w:rsid w:val="003A6B58"/>
    <w:rsid w:val="003B1181"/>
    <w:rsid w:val="003B43AB"/>
    <w:rsid w:val="003B47D4"/>
    <w:rsid w:val="003B4DFD"/>
    <w:rsid w:val="003B6B5D"/>
    <w:rsid w:val="003B773F"/>
    <w:rsid w:val="003C17C9"/>
    <w:rsid w:val="003C242B"/>
    <w:rsid w:val="003C6914"/>
    <w:rsid w:val="003C7BD8"/>
    <w:rsid w:val="003D24BF"/>
    <w:rsid w:val="003D2C7A"/>
    <w:rsid w:val="003D30A3"/>
    <w:rsid w:val="003D64C7"/>
    <w:rsid w:val="003D6FB1"/>
    <w:rsid w:val="003E044E"/>
    <w:rsid w:val="003E31A6"/>
    <w:rsid w:val="003E3C21"/>
    <w:rsid w:val="003E43A1"/>
    <w:rsid w:val="003E4A1B"/>
    <w:rsid w:val="003E6593"/>
    <w:rsid w:val="003E6976"/>
    <w:rsid w:val="003E76A1"/>
    <w:rsid w:val="003F0139"/>
    <w:rsid w:val="003F0429"/>
    <w:rsid w:val="003F2DE7"/>
    <w:rsid w:val="003F44F8"/>
    <w:rsid w:val="00400143"/>
    <w:rsid w:val="00401AB6"/>
    <w:rsid w:val="00402569"/>
    <w:rsid w:val="004041AA"/>
    <w:rsid w:val="00404867"/>
    <w:rsid w:val="00404BED"/>
    <w:rsid w:val="00405266"/>
    <w:rsid w:val="004067A9"/>
    <w:rsid w:val="00407C29"/>
    <w:rsid w:val="0041086A"/>
    <w:rsid w:val="00410F5C"/>
    <w:rsid w:val="00411AFC"/>
    <w:rsid w:val="004137E8"/>
    <w:rsid w:val="00414B63"/>
    <w:rsid w:val="00414FED"/>
    <w:rsid w:val="00415C7C"/>
    <w:rsid w:val="004162EF"/>
    <w:rsid w:val="00417B60"/>
    <w:rsid w:val="004205E7"/>
    <w:rsid w:val="00422E04"/>
    <w:rsid w:val="00422FF4"/>
    <w:rsid w:val="004243BF"/>
    <w:rsid w:val="0042474E"/>
    <w:rsid w:val="00425742"/>
    <w:rsid w:val="00425CE4"/>
    <w:rsid w:val="00426423"/>
    <w:rsid w:val="00427576"/>
    <w:rsid w:val="00432D04"/>
    <w:rsid w:val="00432E66"/>
    <w:rsid w:val="0043374F"/>
    <w:rsid w:val="0043632E"/>
    <w:rsid w:val="00436BA6"/>
    <w:rsid w:val="004410A6"/>
    <w:rsid w:val="00444A69"/>
    <w:rsid w:val="00444B53"/>
    <w:rsid w:val="00445051"/>
    <w:rsid w:val="004453C6"/>
    <w:rsid w:val="00447B4B"/>
    <w:rsid w:val="00451698"/>
    <w:rsid w:val="00454B37"/>
    <w:rsid w:val="00454D64"/>
    <w:rsid w:val="00454E14"/>
    <w:rsid w:val="0045634A"/>
    <w:rsid w:val="00456454"/>
    <w:rsid w:val="00456A11"/>
    <w:rsid w:val="00463586"/>
    <w:rsid w:val="0046388B"/>
    <w:rsid w:val="00465CE7"/>
    <w:rsid w:val="00466435"/>
    <w:rsid w:val="0046782D"/>
    <w:rsid w:val="0047078B"/>
    <w:rsid w:val="0047094B"/>
    <w:rsid w:val="004719CA"/>
    <w:rsid w:val="004758FF"/>
    <w:rsid w:val="00476124"/>
    <w:rsid w:val="004762D6"/>
    <w:rsid w:val="00476B60"/>
    <w:rsid w:val="00476F2B"/>
    <w:rsid w:val="00476F7B"/>
    <w:rsid w:val="004773CF"/>
    <w:rsid w:val="00477E9C"/>
    <w:rsid w:val="00480C83"/>
    <w:rsid w:val="00481354"/>
    <w:rsid w:val="00483D48"/>
    <w:rsid w:val="00483DF5"/>
    <w:rsid w:val="0048530E"/>
    <w:rsid w:val="0049023A"/>
    <w:rsid w:val="00492643"/>
    <w:rsid w:val="00493126"/>
    <w:rsid w:val="00494D3A"/>
    <w:rsid w:val="00495001"/>
    <w:rsid w:val="00495227"/>
    <w:rsid w:val="004975C0"/>
    <w:rsid w:val="004A0370"/>
    <w:rsid w:val="004A2133"/>
    <w:rsid w:val="004A510C"/>
    <w:rsid w:val="004A767C"/>
    <w:rsid w:val="004A7C7C"/>
    <w:rsid w:val="004B06D0"/>
    <w:rsid w:val="004B12B9"/>
    <w:rsid w:val="004B2288"/>
    <w:rsid w:val="004B3068"/>
    <w:rsid w:val="004B4773"/>
    <w:rsid w:val="004B6051"/>
    <w:rsid w:val="004C1201"/>
    <w:rsid w:val="004C1208"/>
    <w:rsid w:val="004C1780"/>
    <w:rsid w:val="004C2864"/>
    <w:rsid w:val="004C3310"/>
    <w:rsid w:val="004D1F5B"/>
    <w:rsid w:val="004D3A36"/>
    <w:rsid w:val="004D5AFA"/>
    <w:rsid w:val="004D69B2"/>
    <w:rsid w:val="004D7C01"/>
    <w:rsid w:val="004E1020"/>
    <w:rsid w:val="004E1126"/>
    <w:rsid w:val="004E11D7"/>
    <w:rsid w:val="004E1671"/>
    <w:rsid w:val="004E19CD"/>
    <w:rsid w:val="004E1E73"/>
    <w:rsid w:val="004E39EB"/>
    <w:rsid w:val="004E5171"/>
    <w:rsid w:val="004E5DC2"/>
    <w:rsid w:val="004E6C4C"/>
    <w:rsid w:val="004E7158"/>
    <w:rsid w:val="004F06FF"/>
    <w:rsid w:val="004F1025"/>
    <w:rsid w:val="004F3A33"/>
    <w:rsid w:val="004F5A57"/>
    <w:rsid w:val="004F7218"/>
    <w:rsid w:val="004F7876"/>
    <w:rsid w:val="00501BD8"/>
    <w:rsid w:val="00502473"/>
    <w:rsid w:val="00502784"/>
    <w:rsid w:val="0050323C"/>
    <w:rsid w:val="0050383E"/>
    <w:rsid w:val="005052EA"/>
    <w:rsid w:val="005063A2"/>
    <w:rsid w:val="00506738"/>
    <w:rsid w:val="00507626"/>
    <w:rsid w:val="0050774E"/>
    <w:rsid w:val="00507A3B"/>
    <w:rsid w:val="00510798"/>
    <w:rsid w:val="00512DD5"/>
    <w:rsid w:val="00513002"/>
    <w:rsid w:val="005146A0"/>
    <w:rsid w:val="005153D7"/>
    <w:rsid w:val="00515708"/>
    <w:rsid w:val="00515FC7"/>
    <w:rsid w:val="00517644"/>
    <w:rsid w:val="00517F69"/>
    <w:rsid w:val="00520A80"/>
    <w:rsid w:val="005225DB"/>
    <w:rsid w:val="005232A5"/>
    <w:rsid w:val="0052634B"/>
    <w:rsid w:val="0053022B"/>
    <w:rsid w:val="0053177D"/>
    <w:rsid w:val="00532555"/>
    <w:rsid w:val="005353BB"/>
    <w:rsid w:val="00535F01"/>
    <w:rsid w:val="00536452"/>
    <w:rsid w:val="005415BC"/>
    <w:rsid w:val="00541E8F"/>
    <w:rsid w:val="00542AEF"/>
    <w:rsid w:val="00542C1D"/>
    <w:rsid w:val="00545172"/>
    <w:rsid w:val="00546072"/>
    <w:rsid w:val="00546445"/>
    <w:rsid w:val="005476E8"/>
    <w:rsid w:val="00550BF2"/>
    <w:rsid w:val="00551403"/>
    <w:rsid w:val="005515D7"/>
    <w:rsid w:val="00555718"/>
    <w:rsid w:val="0055628E"/>
    <w:rsid w:val="00557F9A"/>
    <w:rsid w:val="0056211E"/>
    <w:rsid w:val="005623F0"/>
    <w:rsid w:val="00570258"/>
    <w:rsid w:val="005702D1"/>
    <w:rsid w:val="00571040"/>
    <w:rsid w:val="00571258"/>
    <w:rsid w:val="005723EA"/>
    <w:rsid w:val="005729CA"/>
    <w:rsid w:val="00572C17"/>
    <w:rsid w:val="00575470"/>
    <w:rsid w:val="0057579B"/>
    <w:rsid w:val="00576182"/>
    <w:rsid w:val="005763CB"/>
    <w:rsid w:val="0057705C"/>
    <w:rsid w:val="00581904"/>
    <w:rsid w:val="00581A0E"/>
    <w:rsid w:val="00583ADB"/>
    <w:rsid w:val="00584A93"/>
    <w:rsid w:val="00586BFE"/>
    <w:rsid w:val="005908C6"/>
    <w:rsid w:val="005936DE"/>
    <w:rsid w:val="00594594"/>
    <w:rsid w:val="005950A1"/>
    <w:rsid w:val="005A0B22"/>
    <w:rsid w:val="005A1027"/>
    <w:rsid w:val="005A2047"/>
    <w:rsid w:val="005A4D41"/>
    <w:rsid w:val="005B131B"/>
    <w:rsid w:val="005B139A"/>
    <w:rsid w:val="005B2205"/>
    <w:rsid w:val="005B36E7"/>
    <w:rsid w:val="005B42A8"/>
    <w:rsid w:val="005B63D0"/>
    <w:rsid w:val="005B736A"/>
    <w:rsid w:val="005C1530"/>
    <w:rsid w:val="005C26ED"/>
    <w:rsid w:val="005C359D"/>
    <w:rsid w:val="005C4970"/>
    <w:rsid w:val="005C5D46"/>
    <w:rsid w:val="005D0B99"/>
    <w:rsid w:val="005D42F0"/>
    <w:rsid w:val="005D55C4"/>
    <w:rsid w:val="005D5C18"/>
    <w:rsid w:val="005E02FC"/>
    <w:rsid w:val="005E0872"/>
    <w:rsid w:val="005E1C48"/>
    <w:rsid w:val="005E2D3D"/>
    <w:rsid w:val="005E2D69"/>
    <w:rsid w:val="005E476F"/>
    <w:rsid w:val="005F47EC"/>
    <w:rsid w:val="005F4D86"/>
    <w:rsid w:val="005F542B"/>
    <w:rsid w:val="005F5443"/>
    <w:rsid w:val="0060088D"/>
    <w:rsid w:val="00600B0E"/>
    <w:rsid w:val="00601136"/>
    <w:rsid w:val="00601CA9"/>
    <w:rsid w:val="00605EC8"/>
    <w:rsid w:val="00605ED4"/>
    <w:rsid w:val="00610747"/>
    <w:rsid w:val="0061279A"/>
    <w:rsid w:val="006150A4"/>
    <w:rsid w:val="00617403"/>
    <w:rsid w:val="00617F5F"/>
    <w:rsid w:val="00620084"/>
    <w:rsid w:val="0062193A"/>
    <w:rsid w:val="00621CFA"/>
    <w:rsid w:val="00622C25"/>
    <w:rsid w:val="00622D74"/>
    <w:rsid w:val="0062636D"/>
    <w:rsid w:val="00630272"/>
    <w:rsid w:val="00630BBB"/>
    <w:rsid w:val="006312F5"/>
    <w:rsid w:val="006325E6"/>
    <w:rsid w:val="00632B9D"/>
    <w:rsid w:val="00633D0C"/>
    <w:rsid w:val="00634274"/>
    <w:rsid w:val="00634968"/>
    <w:rsid w:val="00635CFC"/>
    <w:rsid w:val="0063638E"/>
    <w:rsid w:val="006364A4"/>
    <w:rsid w:val="00637330"/>
    <w:rsid w:val="006374BD"/>
    <w:rsid w:val="00640014"/>
    <w:rsid w:val="00640A4D"/>
    <w:rsid w:val="0064159D"/>
    <w:rsid w:val="00644651"/>
    <w:rsid w:val="00645C5B"/>
    <w:rsid w:val="00650D30"/>
    <w:rsid w:val="006523BF"/>
    <w:rsid w:val="00655E47"/>
    <w:rsid w:val="00657553"/>
    <w:rsid w:val="006627B2"/>
    <w:rsid w:val="006655F2"/>
    <w:rsid w:val="0066658D"/>
    <w:rsid w:val="0066724C"/>
    <w:rsid w:val="00670B7F"/>
    <w:rsid w:val="0067403B"/>
    <w:rsid w:val="00675098"/>
    <w:rsid w:val="00676A40"/>
    <w:rsid w:val="00680161"/>
    <w:rsid w:val="00680723"/>
    <w:rsid w:val="00682273"/>
    <w:rsid w:val="00684862"/>
    <w:rsid w:val="006848B4"/>
    <w:rsid w:val="006905BB"/>
    <w:rsid w:val="00690E40"/>
    <w:rsid w:val="00693FEA"/>
    <w:rsid w:val="00694300"/>
    <w:rsid w:val="00694715"/>
    <w:rsid w:val="00697CC9"/>
    <w:rsid w:val="006A2576"/>
    <w:rsid w:val="006A36C3"/>
    <w:rsid w:val="006A3948"/>
    <w:rsid w:val="006A4609"/>
    <w:rsid w:val="006A543F"/>
    <w:rsid w:val="006A57C8"/>
    <w:rsid w:val="006A73BB"/>
    <w:rsid w:val="006A7782"/>
    <w:rsid w:val="006A79C6"/>
    <w:rsid w:val="006B1D7D"/>
    <w:rsid w:val="006B1DDE"/>
    <w:rsid w:val="006B1FD0"/>
    <w:rsid w:val="006B2722"/>
    <w:rsid w:val="006B2FB9"/>
    <w:rsid w:val="006B3158"/>
    <w:rsid w:val="006B3B9A"/>
    <w:rsid w:val="006B55DC"/>
    <w:rsid w:val="006B7189"/>
    <w:rsid w:val="006C186E"/>
    <w:rsid w:val="006C2434"/>
    <w:rsid w:val="006C2AE7"/>
    <w:rsid w:val="006C463E"/>
    <w:rsid w:val="006C55CB"/>
    <w:rsid w:val="006C56A5"/>
    <w:rsid w:val="006C65CC"/>
    <w:rsid w:val="006C69EA"/>
    <w:rsid w:val="006C75D4"/>
    <w:rsid w:val="006D20C8"/>
    <w:rsid w:val="006D3DDE"/>
    <w:rsid w:val="006D412D"/>
    <w:rsid w:val="006D540C"/>
    <w:rsid w:val="006D77E4"/>
    <w:rsid w:val="006D78E5"/>
    <w:rsid w:val="006E0B43"/>
    <w:rsid w:val="006E155B"/>
    <w:rsid w:val="006E1695"/>
    <w:rsid w:val="006E1DAF"/>
    <w:rsid w:val="006E2B5F"/>
    <w:rsid w:val="006E3093"/>
    <w:rsid w:val="006E32B0"/>
    <w:rsid w:val="006E6444"/>
    <w:rsid w:val="006E76E6"/>
    <w:rsid w:val="006E7FD2"/>
    <w:rsid w:val="006F1BC4"/>
    <w:rsid w:val="006F285C"/>
    <w:rsid w:val="006F3438"/>
    <w:rsid w:val="006F3C19"/>
    <w:rsid w:val="006F4447"/>
    <w:rsid w:val="006F48D7"/>
    <w:rsid w:val="006F5629"/>
    <w:rsid w:val="006F5DE2"/>
    <w:rsid w:val="006F60CC"/>
    <w:rsid w:val="006F66F2"/>
    <w:rsid w:val="007030C1"/>
    <w:rsid w:val="007038D3"/>
    <w:rsid w:val="00703918"/>
    <w:rsid w:val="00703B53"/>
    <w:rsid w:val="00703F25"/>
    <w:rsid w:val="0070403B"/>
    <w:rsid w:val="00704FD9"/>
    <w:rsid w:val="00705785"/>
    <w:rsid w:val="00710CCE"/>
    <w:rsid w:val="007154CE"/>
    <w:rsid w:val="007165D3"/>
    <w:rsid w:val="00717E77"/>
    <w:rsid w:val="007209FF"/>
    <w:rsid w:val="00723C72"/>
    <w:rsid w:val="00723D20"/>
    <w:rsid w:val="00726DCE"/>
    <w:rsid w:val="007303DD"/>
    <w:rsid w:val="00731139"/>
    <w:rsid w:val="00731BB6"/>
    <w:rsid w:val="00732CEE"/>
    <w:rsid w:val="00732EC4"/>
    <w:rsid w:val="0073321B"/>
    <w:rsid w:val="00733877"/>
    <w:rsid w:val="00733B73"/>
    <w:rsid w:val="0073477D"/>
    <w:rsid w:val="00735F1B"/>
    <w:rsid w:val="00736006"/>
    <w:rsid w:val="00736EBC"/>
    <w:rsid w:val="0073795F"/>
    <w:rsid w:val="00741946"/>
    <w:rsid w:val="00742B54"/>
    <w:rsid w:val="00742FD8"/>
    <w:rsid w:val="00743611"/>
    <w:rsid w:val="007437DF"/>
    <w:rsid w:val="007458B4"/>
    <w:rsid w:val="00747F93"/>
    <w:rsid w:val="007514DB"/>
    <w:rsid w:val="0075196E"/>
    <w:rsid w:val="00751CD3"/>
    <w:rsid w:val="0075395E"/>
    <w:rsid w:val="00757B9E"/>
    <w:rsid w:val="00761F96"/>
    <w:rsid w:val="00763DF2"/>
    <w:rsid w:val="00763F05"/>
    <w:rsid w:val="00766CAF"/>
    <w:rsid w:val="00766E1A"/>
    <w:rsid w:val="00770146"/>
    <w:rsid w:val="00774994"/>
    <w:rsid w:val="00776738"/>
    <w:rsid w:val="007778F2"/>
    <w:rsid w:val="007779AA"/>
    <w:rsid w:val="00783F4C"/>
    <w:rsid w:val="00784ECD"/>
    <w:rsid w:val="007850C1"/>
    <w:rsid w:val="00786743"/>
    <w:rsid w:val="0078773A"/>
    <w:rsid w:val="00787FBB"/>
    <w:rsid w:val="007906A0"/>
    <w:rsid w:val="00791382"/>
    <w:rsid w:val="00792AD3"/>
    <w:rsid w:val="007A030A"/>
    <w:rsid w:val="007A1231"/>
    <w:rsid w:val="007A2161"/>
    <w:rsid w:val="007A22F7"/>
    <w:rsid w:val="007A2FFA"/>
    <w:rsid w:val="007A3C25"/>
    <w:rsid w:val="007A3E3B"/>
    <w:rsid w:val="007A426B"/>
    <w:rsid w:val="007A48AB"/>
    <w:rsid w:val="007A6B95"/>
    <w:rsid w:val="007B0431"/>
    <w:rsid w:val="007B187A"/>
    <w:rsid w:val="007B1E34"/>
    <w:rsid w:val="007B33B0"/>
    <w:rsid w:val="007B43AB"/>
    <w:rsid w:val="007B4A49"/>
    <w:rsid w:val="007B50A5"/>
    <w:rsid w:val="007B5A27"/>
    <w:rsid w:val="007B6214"/>
    <w:rsid w:val="007B6FD3"/>
    <w:rsid w:val="007B71EB"/>
    <w:rsid w:val="007C068A"/>
    <w:rsid w:val="007C135B"/>
    <w:rsid w:val="007C26D3"/>
    <w:rsid w:val="007D1B28"/>
    <w:rsid w:val="007D4374"/>
    <w:rsid w:val="007D76ED"/>
    <w:rsid w:val="007D78D1"/>
    <w:rsid w:val="007D7D7D"/>
    <w:rsid w:val="007E1097"/>
    <w:rsid w:val="007E4627"/>
    <w:rsid w:val="007E57B1"/>
    <w:rsid w:val="007E7079"/>
    <w:rsid w:val="007F0616"/>
    <w:rsid w:val="007F064D"/>
    <w:rsid w:val="007F06FE"/>
    <w:rsid w:val="007F299B"/>
    <w:rsid w:val="007F7D05"/>
    <w:rsid w:val="007F7FCE"/>
    <w:rsid w:val="008008D8"/>
    <w:rsid w:val="00801E7F"/>
    <w:rsid w:val="0080266C"/>
    <w:rsid w:val="00802BF1"/>
    <w:rsid w:val="00802E77"/>
    <w:rsid w:val="00802EE7"/>
    <w:rsid w:val="00803514"/>
    <w:rsid w:val="008035CE"/>
    <w:rsid w:val="00805E84"/>
    <w:rsid w:val="00806CB3"/>
    <w:rsid w:val="00807AAF"/>
    <w:rsid w:val="008101C0"/>
    <w:rsid w:val="008101C5"/>
    <w:rsid w:val="00811DE6"/>
    <w:rsid w:val="0081342B"/>
    <w:rsid w:val="008146B6"/>
    <w:rsid w:val="00815447"/>
    <w:rsid w:val="008172A3"/>
    <w:rsid w:val="00817760"/>
    <w:rsid w:val="00820426"/>
    <w:rsid w:val="00822169"/>
    <w:rsid w:val="00822D5F"/>
    <w:rsid w:val="00825AC6"/>
    <w:rsid w:val="00827B01"/>
    <w:rsid w:val="0083012E"/>
    <w:rsid w:val="0083192B"/>
    <w:rsid w:val="008336F7"/>
    <w:rsid w:val="00833992"/>
    <w:rsid w:val="008345A2"/>
    <w:rsid w:val="00834644"/>
    <w:rsid w:val="00834EC9"/>
    <w:rsid w:val="008361BC"/>
    <w:rsid w:val="008369B1"/>
    <w:rsid w:val="008414D6"/>
    <w:rsid w:val="008423FB"/>
    <w:rsid w:val="008462FD"/>
    <w:rsid w:val="008511CB"/>
    <w:rsid w:val="00851E13"/>
    <w:rsid w:val="008525A0"/>
    <w:rsid w:val="00853566"/>
    <w:rsid w:val="00854585"/>
    <w:rsid w:val="00856522"/>
    <w:rsid w:val="00857174"/>
    <w:rsid w:val="008628BD"/>
    <w:rsid w:val="00864743"/>
    <w:rsid w:val="00866A3B"/>
    <w:rsid w:val="00866B63"/>
    <w:rsid w:val="00867D45"/>
    <w:rsid w:val="00871860"/>
    <w:rsid w:val="00871B8E"/>
    <w:rsid w:val="00872B1B"/>
    <w:rsid w:val="008738B1"/>
    <w:rsid w:val="008750CC"/>
    <w:rsid w:val="00875286"/>
    <w:rsid w:val="0087624C"/>
    <w:rsid w:val="00877552"/>
    <w:rsid w:val="00877829"/>
    <w:rsid w:val="00877DFD"/>
    <w:rsid w:val="00881B0E"/>
    <w:rsid w:val="00883E1B"/>
    <w:rsid w:val="00884895"/>
    <w:rsid w:val="00887C3A"/>
    <w:rsid w:val="00890348"/>
    <w:rsid w:val="008904D4"/>
    <w:rsid w:val="008911A6"/>
    <w:rsid w:val="00891AA3"/>
    <w:rsid w:val="00891F17"/>
    <w:rsid w:val="008932AD"/>
    <w:rsid w:val="008932B0"/>
    <w:rsid w:val="008945C4"/>
    <w:rsid w:val="00895D09"/>
    <w:rsid w:val="00897CC1"/>
    <w:rsid w:val="00897E14"/>
    <w:rsid w:val="008A2BAD"/>
    <w:rsid w:val="008A2CDB"/>
    <w:rsid w:val="008A4490"/>
    <w:rsid w:val="008A5481"/>
    <w:rsid w:val="008A6BDD"/>
    <w:rsid w:val="008B23C5"/>
    <w:rsid w:val="008B33A1"/>
    <w:rsid w:val="008B635D"/>
    <w:rsid w:val="008B66D8"/>
    <w:rsid w:val="008B6726"/>
    <w:rsid w:val="008B6A8B"/>
    <w:rsid w:val="008B6B6F"/>
    <w:rsid w:val="008B6E08"/>
    <w:rsid w:val="008C2E28"/>
    <w:rsid w:val="008C30A9"/>
    <w:rsid w:val="008C434E"/>
    <w:rsid w:val="008C47A5"/>
    <w:rsid w:val="008C4834"/>
    <w:rsid w:val="008C7C2B"/>
    <w:rsid w:val="008C7E4A"/>
    <w:rsid w:val="008D1140"/>
    <w:rsid w:val="008D1B6D"/>
    <w:rsid w:val="008D3172"/>
    <w:rsid w:val="008D456D"/>
    <w:rsid w:val="008D59F0"/>
    <w:rsid w:val="008D67FB"/>
    <w:rsid w:val="008D6A99"/>
    <w:rsid w:val="008E15FA"/>
    <w:rsid w:val="008E20BB"/>
    <w:rsid w:val="008E2F73"/>
    <w:rsid w:val="008E2FA9"/>
    <w:rsid w:val="008E39E1"/>
    <w:rsid w:val="008E4B29"/>
    <w:rsid w:val="008E57D9"/>
    <w:rsid w:val="008F1202"/>
    <w:rsid w:val="008F253B"/>
    <w:rsid w:val="008F32A6"/>
    <w:rsid w:val="008F3A29"/>
    <w:rsid w:val="008F7FDE"/>
    <w:rsid w:val="009019A0"/>
    <w:rsid w:val="00901EEE"/>
    <w:rsid w:val="009023F2"/>
    <w:rsid w:val="0090488F"/>
    <w:rsid w:val="009051A3"/>
    <w:rsid w:val="00911138"/>
    <w:rsid w:val="0091192C"/>
    <w:rsid w:val="00912D6F"/>
    <w:rsid w:val="00915CD7"/>
    <w:rsid w:val="009168CA"/>
    <w:rsid w:val="00916D4C"/>
    <w:rsid w:val="009175CB"/>
    <w:rsid w:val="00920926"/>
    <w:rsid w:val="00920B65"/>
    <w:rsid w:val="00921353"/>
    <w:rsid w:val="00921C24"/>
    <w:rsid w:val="00922EBA"/>
    <w:rsid w:val="009244B0"/>
    <w:rsid w:val="0092467F"/>
    <w:rsid w:val="00927534"/>
    <w:rsid w:val="00931655"/>
    <w:rsid w:val="00934E62"/>
    <w:rsid w:val="009353D6"/>
    <w:rsid w:val="009360D0"/>
    <w:rsid w:val="009409EA"/>
    <w:rsid w:val="009432D5"/>
    <w:rsid w:val="00943BCC"/>
    <w:rsid w:val="00943DCA"/>
    <w:rsid w:val="00945C49"/>
    <w:rsid w:val="00946033"/>
    <w:rsid w:val="0094682E"/>
    <w:rsid w:val="009538DE"/>
    <w:rsid w:val="0095425E"/>
    <w:rsid w:val="00960B62"/>
    <w:rsid w:val="00961398"/>
    <w:rsid w:val="009617D4"/>
    <w:rsid w:val="00964D55"/>
    <w:rsid w:val="00965A13"/>
    <w:rsid w:val="00966557"/>
    <w:rsid w:val="00970263"/>
    <w:rsid w:val="00972561"/>
    <w:rsid w:val="00975773"/>
    <w:rsid w:val="00975A85"/>
    <w:rsid w:val="00976C6E"/>
    <w:rsid w:val="00981E17"/>
    <w:rsid w:val="00982F15"/>
    <w:rsid w:val="009842B9"/>
    <w:rsid w:val="00984602"/>
    <w:rsid w:val="0098686C"/>
    <w:rsid w:val="009877FC"/>
    <w:rsid w:val="00987FB4"/>
    <w:rsid w:val="00990043"/>
    <w:rsid w:val="00991FA0"/>
    <w:rsid w:val="00993531"/>
    <w:rsid w:val="00993D91"/>
    <w:rsid w:val="00993FE6"/>
    <w:rsid w:val="00994030"/>
    <w:rsid w:val="0099522E"/>
    <w:rsid w:val="009976AC"/>
    <w:rsid w:val="009A2A0D"/>
    <w:rsid w:val="009A3D37"/>
    <w:rsid w:val="009A3DAE"/>
    <w:rsid w:val="009A4A8C"/>
    <w:rsid w:val="009A51C6"/>
    <w:rsid w:val="009A6C74"/>
    <w:rsid w:val="009A79B2"/>
    <w:rsid w:val="009B00E7"/>
    <w:rsid w:val="009B0165"/>
    <w:rsid w:val="009B26D4"/>
    <w:rsid w:val="009B2B38"/>
    <w:rsid w:val="009B41B7"/>
    <w:rsid w:val="009B7923"/>
    <w:rsid w:val="009C0A66"/>
    <w:rsid w:val="009C0CCF"/>
    <w:rsid w:val="009C367E"/>
    <w:rsid w:val="009C59B0"/>
    <w:rsid w:val="009C7513"/>
    <w:rsid w:val="009C76FF"/>
    <w:rsid w:val="009C7C3E"/>
    <w:rsid w:val="009D0289"/>
    <w:rsid w:val="009D4C87"/>
    <w:rsid w:val="009D5A2B"/>
    <w:rsid w:val="009D6267"/>
    <w:rsid w:val="009E2578"/>
    <w:rsid w:val="009E2911"/>
    <w:rsid w:val="009E3046"/>
    <w:rsid w:val="009E3E19"/>
    <w:rsid w:val="009E58D2"/>
    <w:rsid w:val="009E6F4F"/>
    <w:rsid w:val="009F1683"/>
    <w:rsid w:val="009F264B"/>
    <w:rsid w:val="009F26B5"/>
    <w:rsid w:val="009F3AC2"/>
    <w:rsid w:val="009F49D5"/>
    <w:rsid w:val="009F56B9"/>
    <w:rsid w:val="009F6785"/>
    <w:rsid w:val="00A01006"/>
    <w:rsid w:val="00A015FC"/>
    <w:rsid w:val="00A016AD"/>
    <w:rsid w:val="00A0235D"/>
    <w:rsid w:val="00A02452"/>
    <w:rsid w:val="00A02F0B"/>
    <w:rsid w:val="00A04841"/>
    <w:rsid w:val="00A06548"/>
    <w:rsid w:val="00A06C86"/>
    <w:rsid w:val="00A0770E"/>
    <w:rsid w:val="00A10115"/>
    <w:rsid w:val="00A13371"/>
    <w:rsid w:val="00A134E7"/>
    <w:rsid w:val="00A13635"/>
    <w:rsid w:val="00A13E6D"/>
    <w:rsid w:val="00A14ED3"/>
    <w:rsid w:val="00A15786"/>
    <w:rsid w:val="00A15F36"/>
    <w:rsid w:val="00A17D65"/>
    <w:rsid w:val="00A233AC"/>
    <w:rsid w:val="00A23B8A"/>
    <w:rsid w:val="00A2694A"/>
    <w:rsid w:val="00A26B60"/>
    <w:rsid w:val="00A27FBD"/>
    <w:rsid w:val="00A30BBC"/>
    <w:rsid w:val="00A3330A"/>
    <w:rsid w:val="00A33883"/>
    <w:rsid w:val="00A34EDB"/>
    <w:rsid w:val="00A35D8D"/>
    <w:rsid w:val="00A35EF5"/>
    <w:rsid w:val="00A36E1F"/>
    <w:rsid w:val="00A36EE8"/>
    <w:rsid w:val="00A4091B"/>
    <w:rsid w:val="00A40BED"/>
    <w:rsid w:val="00A40E14"/>
    <w:rsid w:val="00A426F8"/>
    <w:rsid w:val="00A43D35"/>
    <w:rsid w:val="00A45EAE"/>
    <w:rsid w:val="00A46653"/>
    <w:rsid w:val="00A47273"/>
    <w:rsid w:val="00A47866"/>
    <w:rsid w:val="00A50BD7"/>
    <w:rsid w:val="00A51009"/>
    <w:rsid w:val="00A51478"/>
    <w:rsid w:val="00A53444"/>
    <w:rsid w:val="00A53B42"/>
    <w:rsid w:val="00A5462A"/>
    <w:rsid w:val="00A54C84"/>
    <w:rsid w:val="00A54D66"/>
    <w:rsid w:val="00A55801"/>
    <w:rsid w:val="00A621E0"/>
    <w:rsid w:val="00A66060"/>
    <w:rsid w:val="00A67929"/>
    <w:rsid w:val="00A70EED"/>
    <w:rsid w:val="00A737E3"/>
    <w:rsid w:val="00A75564"/>
    <w:rsid w:val="00A75A53"/>
    <w:rsid w:val="00A75DE3"/>
    <w:rsid w:val="00A76D25"/>
    <w:rsid w:val="00A80E8C"/>
    <w:rsid w:val="00A816E5"/>
    <w:rsid w:val="00A81989"/>
    <w:rsid w:val="00A82139"/>
    <w:rsid w:val="00A8218F"/>
    <w:rsid w:val="00A8293E"/>
    <w:rsid w:val="00A83D1B"/>
    <w:rsid w:val="00A87762"/>
    <w:rsid w:val="00A91814"/>
    <w:rsid w:val="00A91927"/>
    <w:rsid w:val="00A9220F"/>
    <w:rsid w:val="00A9244F"/>
    <w:rsid w:val="00A92F65"/>
    <w:rsid w:val="00A946C0"/>
    <w:rsid w:val="00A95FDA"/>
    <w:rsid w:val="00A960BE"/>
    <w:rsid w:val="00A964D6"/>
    <w:rsid w:val="00A97885"/>
    <w:rsid w:val="00A979F3"/>
    <w:rsid w:val="00AA0256"/>
    <w:rsid w:val="00AA138A"/>
    <w:rsid w:val="00AA1761"/>
    <w:rsid w:val="00AA1B94"/>
    <w:rsid w:val="00AA29E1"/>
    <w:rsid w:val="00AA35EA"/>
    <w:rsid w:val="00AA5699"/>
    <w:rsid w:val="00AA6ED9"/>
    <w:rsid w:val="00AA7A56"/>
    <w:rsid w:val="00AB0104"/>
    <w:rsid w:val="00AB125A"/>
    <w:rsid w:val="00AB13EC"/>
    <w:rsid w:val="00AB2EB1"/>
    <w:rsid w:val="00AB3A70"/>
    <w:rsid w:val="00AB4365"/>
    <w:rsid w:val="00AB70EC"/>
    <w:rsid w:val="00AC0217"/>
    <w:rsid w:val="00AC13FC"/>
    <w:rsid w:val="00AC24EB"/>
    <w:rsid w:val="00AC3335"/>
    <w:rsid w:val="00AC3A6E"/>
    <w:rsid w:val="00AC3E67"/>
    <w:rsid w:val="00AC407C"/>
    <w:rsid w:val="00AC4CC0"/>
    <w:rsid w:val="00AC5339"/>
    <w:rsid w:val="00AC55EA"/>
    <w:rsid w:val="00AC5DDF"/>
    <w:rsid w:val="00AC6C5B"/>
    <w:rsid w:val="00AC6F9C"/>
    <w:rsid w:val="00AC7282"/>
    <w:rsid w:val="00AC7A90"/>
    <w:rsid w:val="00AD2BCD"/>
    <w:rsid w:val="00AD3FB3"/>
    <w:rsid w:val="00AD5BA0"/>
    <w:rsid w:val="00AD5D44"/>
    <w:rsid w:val="00AE168E"/>
    <w:rsid w:val="00AE2130"/>
    <w:rsid w:val="00AE2A5D"/>
    <w:rsid w:val="00AE3839"/>
    <w:rsid w:val="00AE419A"/>
    <w:rsid w:val="00AE5ABE"/>
    <w:rsid w:val="00AE6CF9"/>
    <w:rsid w:val="00AF0C6F"/>
    <w:rsid w:val="00AF22C6"/>
    <w:rsid w:val="00AF2380"/>
    <w:rsid w:val="00AF3565"/>
    <w:rsid w:val="00AF46B8"/>
    <w:rsid w:val="00AF5820"/>
    <w:rsid w:val="00AF62F2"/>
    <w:rsid w:val="00B02DAC"/>
    <w:rsid w:val="00B02E32"/>
    <w:rsid w:val="00B047FF"/>
    <w:rsid w:val="00B0492C"/>
    <w:rsid w:val="00B05327"/>
    <w:rsid w:val="00B0736B"/>
    <w:rsid w:val="00B07FBA"/>
    <w:rsid w:val="00B10A1D"/>
    <w:rsid w:val="00B124E8"/>
    <w:rsid w:val="00B129F4"/>
    <w:rsid w:val="00B13E6E"/>
    <w:rsid w:val="00B1615A"/>
    <w:rsid w:val="00B200F1"/>
    <w:rsid w:val="00B207EA"/>
    <w:rsid w:val="00B21121"/>
    <w:rsid w:val="00B228AF"/>
    <w:rsid w:val="00B242B3"/>
    <w:rsid w:val="00B2472B"/>
    <w:rsid w:val="00B30A7B"/>
    <w:rsid w:val="00B31F0C"/>
    <w:rsid w:val="00B3683B"/>
    <w:rsid w:val="00B36E2D"/>
    <w:rsid w:val="00B373E3"/>
    <w:rsid w:val="00B378B8"/>
    <w:rsid w:val="00B40577"/>
    <w:rsid w:val="00B433C1"/>
    <w:rsid w:val="00B43B66"/>
    <w:rsid w:val="00B523C8"/>
    <w:rsid w:val="00B53130"/>
    <w:rsid w:val="00B541F2"/>
    <w:rsid w:val="00B55977"/>
    <w:rsid w:val="00B55C32"/>
    <w:rsid w:val="00B55D69"/>
    <w:rsid w:val="00B561AF"/>
    <w:rsid w:val="00B56F0E"/>
    <w:rsid w:val="00B57176"/>
    <w:rsid w:val="00B604B1"/>
    <w:rsid w:val="00B610C6"/>
    <w:rsid w:val="00B6129C"/>
    <w:rsid w:val="00B62423"/>
    <w:rsid w:val="00B63E4F"/>
    <w:rsid w:val="00B643FB"/>
    <w:rsid w:val="00B647B0"/>
    <w:rsid w:val="00B651C4"/>
    <w:rsid w:val="00B65EFC"/>
    <w:rsid w:val="00B672C1"/>
    <w:rsid w:val="00B744B3"/>
    <w:rsid w:val="00B8170E"/>
    <w:rsid w:val="00B820C3"/>
    <w:rsid w:val="00B828C6"/>
    <w:rsid w:val="00B8314C"/>
    <w:rsid w:val="00B835CE"/>
    <w:rsid w:val="00B851A2"/>
    <w:rsid w:val="00B85B97"/>
    <w:rsid w:val="00B87873"/>
    <w:rsid w:val="00B87CB0"/>
    <w:rsid w:val="00B901E3"/>
    <w:rsid w:val="00B91132"/>
    <w:rsid w:val="00B913E0"/>
    <w:rsid w:val="00B93CFC"/>
    <w:rsid w:val="00B9412C"/>
    <w:rsid w:val="00B943C4"/>
    <w:rsid w:val="00B949CB"/>
    <w:rsid w:val="00B9541C"/>
    <w:rsid w:val="00B95503"/>
    <w:rsid w:val="00BA19D2"/>
    <w:rsid w:val="00BA2F01"/>
    <w:rsid w:val="00BA3289"/>
    <w:rsid w:val="00BA38CB"/>
    <w:rsid w:val="00BA4128"/>
    <w:rsid w:val="00BA4642"/>
    <w:rsid w:val="00BB03E1"/>
    <w:rsid w:val="00BB052F"/>
    <w:rsid w:val="00BB06FA"/>
    <w:rsid w:val="00BB1503"/>
    <w:rsid w:val="00BB1F1A"/>
    <w:rsid w:val="00BB231D"/>
    <w:rsid w:val="00BB2D35"/>
    <w:rsid w:val="00BB6B74"/>
    <w:rsid w:val="00BC0BBC"/>
    <w:rsid w:val="00BC0C36"/>
    <w:rsid w:val="00BC0E87"/>
    <w:rsid w:val="00BC2559"/>
    <w:rsid w:val="00BC3A3D"/>
    <w:rsid w:val="00BC4E7A"/>
    <w:rsid w:val="00BC56CA"/>
    <w:rsid w:val="00BC58FE"/>
    <w:rsid w:val="00BC5CB2"/>
    <w:rsid w:val="00BC6760"/>
    <w:rsid w:val="00BD0173"/>
    <w:rsid w:val="00BD01D0"/>
    <w:rsid w:val="00BD0FC3"/>
    <w:rsid w:val="00BD3766"/>
    <w:rsid w:val="00BD3C28"/>
    <w:rsid w:val="00BD3E45"/>
    <w:rsid w:val="00BD7957"/>
    <w:rsid w:val="00BE0BB9"/>
    <w:rsid w:val="00BE0E41"/>
    <w:rsid w:val="00BE42F0"/>
    <w:rsid w:val="00BE5F2B"/>
    <w:rsid w:val="00BF3710"/>
    <w:rsid w:val="00BF73EB"/>
    <w:rsid w:val="00BF7920"/>
    <w:rsid w:val="00C043FB"/>
    <w:rsid w:val="00C05C9D"/>
    <w:rsid w:val="00C06899"/>
    <w:rsid w:val="00C10F34"/>
    <w:rsid w:val="00C117AC"/>
    <w:rsid w:val="00C13123"/>
    <w:rsid w:val="00C1371E"/>
    <w:rsid w:val="00C14878"/>
    <w:rsid w:val="00C148DF"/>
    <w:rsid w:val="00C150FB"/>
    <w:rsid w:val="00C1594C"/>
    <w:rsid w:val="00C20E2A"/>
    <w:rsid w:val="00C235EE"/>
    <w:rsid w:val="00C27C63"/>
    <w:rsid w:val="00C33BE0"/>
    <w:rsid w:val="00C341D4"/>
    <w:rsid w:val="00C34D12"/>
    <w:rsid w:val="00C35141"/>
    <w:rsid w:val="00C36819"/>
    <w:rsid w:val="00C36A6A"/>
    <w:rsid w:val="00C426DD"/>
    <w:rsid w:val="00C43868"/>
    <w:rsid w:val="00C44A78"/>
    <w:rsid w:val="00C4717C"/>
    <w:rsid w:val="00C50200"/>
    <w:rsid w:val="00C5064D"/>
    <w:rsid w:val="00C51B81"/>
    <w:rsid w:val="00C51D80"/>
    <w:rsid w:val="00C528B6"/>
    <w:rsid w:val="00C56E3B"/>
    <w:rsid w:val="00C57BE0"/>
    <w:rsid w:val="00C6051D"/>
    <w:rsid w:val="00C60DCB"/>
    <w:rsid w:val="00C618AB"/>
    <w:rsid w:val="00C62ECF"/>
    <w:rsid w:val="00C6402F"/>
    <w:rsid w:val="00C65894"/>
    <w:rsid w:val="00C66BAA"/>
    <w:rsid w:val="00C67188"/>
    <w:rsid w:val="00C71986"/>
    <w:rsid w:val="00C71AAB"/>
    <w:rsid w:val="00C71DF5"/>
    <w:rsid w:val="00C72034"/>
    <w:rsid w:val="00C73C84"/>
    <w:rsid w:val="00C74489"/>
    <w:rsid w:val="00C766F1"/>
    <w:rsid w:val="00C77134"/>
    <w:rsid w:val="00C800F0"/>
    <w:rsid w:val="00C80583"/>
    <w:rsid w:val="00C80C69"/>
    <w:rsid w:val="00C82911"/>
    <w:rsid w:val="00C82B84"/>
    <w:rsid w:val="00C8350C"/>
    <w:rsid w:val="00C8563F"/>
    <w:rsid w:val="00C8745E"/>
    <w:rsid w:val="00C91B83"/>
    <w:rsid w:val="00C9372A"/>
    <w:rsid w:val="00C94B33"/>
    <w:rsid w:val="00C97164"/>
    <w:rsid w:val="00CA1E6C"/>
    <w:rsid w:val="00CA1F2F"/>
    <w:rsid w:val="00CA3E70"/>
    <w:rsid w:val="00CA56FF"/>
    <w:rsid w:val="00CA69DB"/>
    <w:rsid w:val="00CB095C"/>
    <w:rsid w:val="00CB0B9E"/>
    <w:rsid w:val="00CB18B9"/>
    <w:rsid w:val="00CB19DF"/>
    <w:rsid w:val="00CB1EF5"/>
    <w:rsid w:val="00CB3682"/>
    <w:rsid w:val="00CB51DE"/>
    <w:rsid w:val="00CB606B"/>
    <w:rsid w:val="00CC00AD"/>
    <w:rsid w:val="00CC13B0"/>
    <w:rsid w:val="00CC2CE7"/>
    <w:rsid w:val="00CC4281"/>
    <w:rsid w:val="00CC7989"/>
    <w:rsid w:val="00CD0DC0"/>
    <w:rsid w:val="00CD13D8"/>
    <w:rsid w:val="00CD1710"/>
    <w:rsid w:val="00CD174F"/>
    <w:rsid w:val="00CD1A40"/>
    <w:rsid w:val="00CD4DC0"/>
    <w:rsid w:val="00CD5DC5"/>
    <w:rsid w:val="00CD7D7B"/>
    <w:rsid w:val="00CE14CD"/>
    <w:rsid w:val="00CE2647"/>
    <w:rsid w:val="00CE40BE"/>
    <w:rsid w:val="00CE53C1"/>
    <w:rsid w:val="00CE576B"/>
    <w:rsid w:val="00CE5D9C"/>
    <w:rsid w:val="00CE6FA2"/>
    <w:rsid w:val="00CF1F08"/>
    <w:rsid w:val="00CF30C8"/>
    <w:rsid w:val="00CF5C03"/>
    <w:rsid w:val="00CF5E6A"/>
    <w:rsid w:val="00CF6B87"/>
    <w:rsid w:val="00D00DA8"/>
    <w:rsid w:val="00D01AE4"/>
    <w:rsid w:val="00D03106"/>
    <w:rsid w:val="00D03EBF"/>
    <w:rsid w:val="00D04A44"/>
    <w:rsid w:val="00D0558B"/>
    <w:rsid w:val="00D057C0"/>
    <w:rsid w:val="00D10B12"/>
    <w:rsid w:val="00D11EC7"/>
    <w:rsid w:val="00D12890"/>
    <w:rsid w:val="00D13262"/>
    <w:rsid w:val="00D13274"/>
    <w:rsid w:val="00D1375B"/>
    <w:rsid w:val="00D13B0C"/>
    <w:rsid w:val="00D160B1"/>
    <w:rsid w:val="00D22AE7"/>
    <w:rsid w:val="00D25E8D"/>
    <w:rsid w:val="00D274C9"/>
    <w:rsid w:val="00D3101F"/>
    <w:rsid w:val="00D32683"/>
    <w:rsid w:val="00D34122"/>
    <w:rsid w:val="00D3571E"/>
    <w:rsid w:val="00D359C3"/>
    <w:rsid w:val="00D36EFF"/>
    <w:rsid w:val="00D40486"/>
    <w:rsid w:val="00D40C17"/>
    <w:rsid w:val="00D415FE"/>
    <w:rsid w:val="00D42AB1"/>
    <w:rsid w:val="00D42F1E"/>
    <w:rsid w:val="00D43FDD"/>
    <w:rsid w:val="00D44273"/>
    <w:rsid w:val="00D449D9"/>
    <w:rsid w:val="00D478CC"/>
    <w:rsid w:val="00D50F96"/>
    <w:rsid w:val="00D52FDB"/>
    <w:rsid w:val="00D53E75"/>
    <w:rsid w:val="00D558C4"/>
    <w:rsid w:val="00D57097"/>
    <w:rsid w:val="00D57536"/>
    <w:rsid w:val="00D575AE"/>
    <w:rsid w:val="00D577A5"/>
    <w:rsid w:val="00D579C0"/>
    <w:rsid w:val="00D603F9"/>
    <w:rsid w:val="00D626DC"/>
    <w:rsid w:val="00D63254"/>
    <w:rsid w:val="00D6365A"/>
    <w:rsid w:val="00D64B78"/>
    <w:rsid w:val="00D74EA5"/>
    <w:rsid w:val="00D75DE8"/>
    <w:rsid w:val="00D761C8"/>
    <w:rsid w:val="00D76781"/>
    <w:rsid w:val="00D767DF"/>
    <w:rsid w:val="00D769D5"/>
    <w:rsid w:val="00D775AF"/>
    <w:rsid w:val="00D77AB6"/>
    <w:rsid w:val="00D77D44"/>
    <w:rsid w:val="00D80280"/>
    <w:rsid w:val="00D809B9"/>
    <w:rsid w:val="00D81826"/>
    <w:rsid w:val="00D8250A"/>
    <w:rsid w:val="00D838FD"/>
    <w:rsid w:val="00D84174"/>
    <w:rsid w:val="00D84C8D"/>
    <w:rsid w:val="00D85CE5"/>
    <w:rsid w:val="00D867EC"/>
    <w:rsid w:val="00D86D6D"/>
    <w:rsid w:val="00D86E7E"/>
    <w:rsid w:val="00D877EA"/>
    <w:rsid w:val="00D878C1"/>
    <w:rsid w:val="00D87B67"/>
    <w:rsid w:val="00D87D85"/>
    <w:rsid w:val="00D907BD"/>
    <w:rsid w:val="00D91782"/>
    <w:rsid w:val="00D9295A"/>
    <w:rsid w:val="00D92BC1"/>
    <w:rsid w:val="00D963CF"/>
    <w:rsid w:val="00D9730C"/>
    <w:rsid w:val="00D97822"/>
    <w:rsid w:val="00DA18EC"/>
    <w:rsid w:val="00DA1942"/>
    <w:rsid w:val="00DA2A61"/>
    <w:rsid w:val="00DA3CFA"/>
    <w:rsid w:val="00DA7150"/>
    <w:rsid w:val="00DA7A09"/>
    <w:rsid w:val="00DB1A26"/>
    <w:rsid w:val="00DB20C8"/>
    <w:rsid w:val="00DB389F"/>
    <w:rsid w:val="00DB49F7"/>
    <w:rsid w:val="00DB4B83"/>
    <w:rsid w:val="00DB55AA"/>
    <w:rsid w:val="00DB67F3"/>
    <w:rsid w:val="00DB710F"/>
    <w:rsid w:val="00DC01BC"/>
    <w:rsid w:val="00DC0247"/>
    <w:rsid w:val="00DC0C69"/>
    <w:rsid w:val="00DC2AFD"/>
    <w:rsid w:val="00DC3883"/>
    <w:rsid w:val="00DC47C2"/>
    <w:rsid w:val="00DC75DA"/>
    <w:rsid w:val="00DD074C"/>
    <w:rsid w:val="00DD378E"/>
    <w:rsid w:val="00DD418B"/>
    <w:rsid w:val="00DD464A"/>
    <w:rsid w:val="00DD49B8"/>
    <w:rsid w:val="00DD4A74"/>
    <w:rsid w:val="00DE124A"/>
    <w:rsid w:val="00DE2073"/>
    <w:rsid w:val="00DE2BD9"/>
    <w:rsid w:val="00DE63EC"/>
    <w:rsid w:val="00DE6720"/>
    <w:rsid w:val="00DF0213"/>
    <w:rsid w:val="00DF2012"/>
    <w:rsid w:val="00DF295B"/>
    <w:rsid w:val="00DF2A7D"/>
    <w:rsid w:val="00DF30A0"/>
    <w:rsid w:val="00DF45A9"/>
    <w:rsid w:val="00DF5A95"/>
    <w:rsid w:val="00E02B48"/>
    <w:rsid w:val="00E0305B"/>
    <w:rsid w:val="00E03925"/>
    <w:rsid w:val="00E04150"/>
    <w:rsid w:val="00E04BCF"/>
    <w:rsid w:val="00E078D5"/>
    <w:rsid w:val="00E1248C"/>
    <w:rsid w:val="00E137A9"/>
    <w:rsid w:val="00E14773"/>
    <w:rsid w:val="00E14F0C"/>
    <w:rsid w:val="00E15F34"/>
    <w:rsid w:val="00E16954"/>
    <w:rsid w:val="00E174AF"/>
    <w:rsid w:val="00E22CC4"/>
    <w:rsid w:val="00E255E4"/>
    <w:rsid w:val="00E25BD1"/>
    <w:rsid w:val="00E26611"/>
    <w:rsid w:val="00E328A1"/>
    <w:rsid w:val="00E346A9"/>
    <w:rsid w:val="00E35264"/>
    <w:rsid w:val="00E3601B"/>
    <w:rsid w:val="00E37EF4"/>
    <w:rsid w:val="00E44655"/>
    <w:rsid w:val="00E44958"/>
    <w:rsid w:val="00E44C8B"/>
    <w:rsid w:val="00E44E7E"/>
    <w:rsid w:val="00E45B9C"/>
    <w:rsid w:val="00E51596"/>
    <w:rsid w:val="00E51D43"/>
    <w:rsid w:val="00E53C5D"/>
    <w:rsid w:val="00E55696"/>
    <w:rsid w:val="00E6009F"/>
    <w:rsid w:val="00E61404"/>
    <w:rsid w:val="00E62A62"/>
    <w:rsid w:val="00E66BCC"/>
    <w:rsid w:val="00E67A52"/>
    <w:rsid w:val="00E70CC8"/>
    <w:rsid w:val="00E715AD"/>
    <w:rsid w:val="00E71BF4"/>
    <w:rsid w:val="00E729CC"/>
    <w:rsid w:val="00E7436A"/>
    <w:rsid w:val="00E77893"/>
    <w:rsid w:val="00E8021B"/>
    <w:rsid w:val="00E81AEF"/>
    <w:rsid w:val="00E83AE1"/>
    <w:rsid w:val="00E85917"/>
    <w:rsid w:val="00E85E91"/>
    <w:rsid w:val="00E87D21"/>
    <w:rsid w:val="00E91327"/>
    <w:rsid w:val="00E93122"/>
    <w:rsid w:val="00E970FB"/>
    <w:rsid w:val="00E97479"/>
    <w:rsid w:val="00E97ADA"/>
    <w:rsid w:val="00EA09F9"/>
    <w:rsid w:val="00EA0A28"/>
    <w:rsid w:val="00EA124C"/>
    <w:rsid w:val="00EA1652"/>
    <w:rsid w:val="00EA1783"/>
    <w:rsid w:val="00EA20B9"/>
    <w:rsid w:val="00EA2F3A"/>
    <w:rsid w:val="00EA4932"/>
    <w:rsid w:val="00EA543B"/>
    <w:rsid w:val="00EA6340"/>
    <w:rsid w:val="00EA66EF"/>
    <w:rsid w:val="00EB162B"/>
    <w:rsid w:val="00EB2522"/>
    <w:rsid w:val="00EB3601"/>
    <w:rsid w:val="00EB42FE"/>
    <w:rsid w:val="00EB4F86"/>
    <w:rsid w:val="00EB51AE"/>
    <w:rsid w:val="00EC0D49"/>
    <w:rsid w:val="00EC2EFE"/>
    <w:rsid w:val="00EC2F7F"/>
    <w:rsid w:val="00EC3689"/>
    <w:rsid w:val="00EC3DC2"/>
    <w:rsid w:val="00EC4816"/>
    <w:rsid w:val="00EC61B1"/>
    <w:rsid w:val="00EC6647"/>
    <w:rsid w:val="00EC717F"/>
    <w:rsid w:val="00ED00F1"/>
    <w:rsid w:val="00ED17F5"/>
    <w:rsid w:val="00ED1EE8"/>
    <w:rsid w:val="00ED209C"/>
    <w:rsid w:val="00ED29C2"/>
    <w:rsid w:val="00ED3D56"/>
    <w:rsid w:val="00ED4D85"/>
    <w:rsid w:val="00ED5DB0"/>
    <w:rsid w:val="00ED6CF8"/>
    <w:rsid w:val="00EE2FDE"/>
    <w:rsid w:val="00EE3285"/>
    <w:rsid w:val="00EE35B5"/>
    <w:rsid w:val="00EE60C2"/>
    <w:rsid w:val="00EF0480"/>
    <w:rsid w:val="00EF097C"/>
    <w:rsid w:val="00EF0D27"/>
    <w:rsid w:val="00EF3507"/>
    <w:rsid w:val="00EF5AB5"/>
    <w:rsid w:val="00EF72CE"/>
    <w:rsid w:val="00EF79CF"/>
    <w:rsid w:val="00F009A5"/>
    <w:rsid w:val="00F06C53"/>
    <w:rsid w:val="00F06DB2"/>
    <w:rsid w:val="00F07683"/>
    <w:rsid w:val="00F1055A"/>
    <w:rsid w:val="00F10698"/>
    <w:rsid w:val="00F128C3"/>
    <w:rsid w:val="00F1300A"/>
    <w:rsid w:val="00F16E14"/>
    <w:rsid w:val="00F17C5E"/>
    <w:rsid w:val="00F2255A"/>
    <w:rsid w:val="00F22BCC"/>
    <w:rsid w:val="00F236FE"/>
    <w:rsid w:val="00F24A17"/>
    <w:rsid w:val="00F25ACE"/>
    <w:rsid w:val="00F25B18"/>
    <w:rsid w:val="00F26B3F"/>
    <w:rsid w:val="00F31FBC"/>
    <w:rsid w:val="00F32D3B"/>
    <w:rsid w:val="00F3314A"/>
    <w:rsid w:val="00F33AB0"/>
    <w:rsid w:val="00F353AE"/>
    <w:rsid w:val="00F35D3F"/>
    <w:rsid w:val="00F36B7C"/>
    <w:rsid w:val="00F36FFD"/>
    <w:rsid w:val="00F4039D"/>
    <w:rsid w:val="00F40F01"/>
    <w:rsid w:val="00F40FA7"/>
    <w:rsid w:val="00F426D4"/>
    <w:rsid w:val="00F45156"/>
    <w:rsid w:val="00F4587D"/>
    <w:rsid w:val="00F45D9D"/>
    <w:rsid w:val="00F46522"/>
    <w:rsid w:val="00F465E8"/>
    <w:rsid w:val="00F47D9C"/>
    <w:rsid w:val="00F5058F"/>
    <w:rsid w:val="00F53334"/>
    <w:rsid w:val="00F53787"/>
    <w:rsid w:val="00F5437F"/>
    <w:rsid w:val="00F54AB6"/>
    <w:rsid w:val="00F558E8"/>
    <w:rsid w:val="00F559A4"/>
    <w:rsid w:val="00F56CEE"/>
    <w:rsid w:val="00F60499"/>
    <w:rsid w:val="00F611CB"/>
    <w:rsid w:val="00F612D0"/>
    <w:rsid w:val="00F6133C"/>
    <w:rsid w:val="00F61B82"/>
    <w:rsid w:val="00F62A96"/>
    <w:rsid w:val="00F62F76"/>
    <w:rsid w:val="00F658BE"/>
    <w:rsid w:val="00F677AD"/>
    <w:rsid w:val="00F67D93"/>
    <w:rsid w:val="00F70B6A"/>
    <w:rsid w:val="00F70E44"/>
    <w:rsid w:val="00F70ED8"/>
    <w:rsid w:val="00F7107E"/>
    <w:rsid w:val="00F73436"/>
    <w:rsid w:val="00F738B4"/>
    <w:rsid w:val="00F75397"/>
    <w:rsid w:val="00F76515"/>
    <w:rsid w:val="00F77A26"/>
    <w:rsid w:val="00F82119"/>
    <w:rsid w:val="00F8232E"/>
    <w:rsid w:val="00F8272B"/>
    <w:rsid w:val="00F83427"/>
    <w:rsid w:val="00F84BE8"/>
    <w:rsid w:val="00F85E0B"/>
    <w:rsid w:val="00F9076B"/>
    <w:rsid w:val="00F908EB"/>
    <w:rsid w:val="00F917BD"/>
    <w:rsid w:val="00F93090"/>
    <w:rsid w:val="00F94C32"/>
    <w:rsid w:val="00F9502F"/>
    <w:rsid w:val="00F95054"/>
    <w:rsid w:val="00F9683D"/>
    <w:rsid w:val="00FA2773"/>
    <w:rsid w:val="00FA2CBD"/>
    <w:rsid w:val="00FA39DD"/>
    <w:rsid w:val="00FA46B8"/>
    <w:rsid w:val="00FA5F25"/>
    <w:rsid w:val="00FA6785"/>
    <w:rsid w:val="00FB22EF"/>
    <w:rsid w:val="00FB26D2"/>
    <w:rsid w:val="00FB4EE1"/>
    <w:rsid w:val="00FB69D2"/>
    <w:rsid w:val="00FB6FE8"/>
    <w:rsid w:val="00FB7B99"/>
    <w:rsid w:val="00FC0330"/>
    <w:rsid w:val="00FC0C80"/>
    <w:rsid w:val="00FC12D7"/>
    <w:rsid w:val="00FC1559"/>
    <w:rsid w:val="00FC1FF7"/>
    <w:rsid w:val="00FC2687"/>
    <w:rsid w:val="00FC541A"/>
    <w:rsid w:val="00FC5E58"/>
    <w:rsid w:val="00FC6352"/>
    <w:rsid w:val="00FC6391"/>
    <w:rsid w:val="00FC6885"/>
    <w:rsid w:val="00FD14C7"/>
    <w:rsid w:val="00FD5526"/>
    <w:rsid w:val="00FD6639"/>
    <w:rsid w:val="00FD70EE"/>
    <w:rsid w:val="00FE2690"/>
    <w:rsid w:val="00FE285E"/>
    <w:rsid w:val="00FE297E"/>
    <w:rsid w:val="00FE304D"/>
    <w:rsid w:val="00FE4582"/>
    <w:rsid w:val="00FE56E0"/>
    <w:rsid w:val="00FF038D"/>
    <w:rsid w:val="00FF051F"/>
    <w:rsid w:val="00FF1973"/>
    <w:rsid w:val="00FF2290"/>
    <w:rsid w:val="00FF4EE0"/>
    <w:rsid w:val="00FF6E9C"/>
    <w:rsid w:val="030516AD"/>
    <w:rsid w:val="0787499A"/>
    <w:rsid w:val="07C613FD"/>
    <w:rsid w:val="084F4BE3"/>
    <w:rsid w:val="088F37C7"/>
    <w:rsid w:val="0ABC4517"/>
    <w:rsid w:val="0B915894"/>
    <w:rsid w:val="0C256588"/>
    <w:rsid w:val="0C470522"/>
    <w:rsid w:val="0D634DCD"/>
    <w:rsid w:val="0E1D472A"/>
    <w:rsid w:val="0E4C30EB"/>
    <w:rsid w:val="0E947F92"/>
    <w:rsid w:val="0F2731F8"/>
    <w:rsid w:val="0F7B6853"/>
    <w:rsid w:val="0FA967B3"/>
    <w:rsid w:val="0FCE1941"/>
    <w:rsid w:val="0FD909AF"/>
    <w:rsid w:val="10AD2221"/>
    <w:rsid w:val="11AC1547"/>
    <w:rsid w:val="13BD568C"/>
    <w:rsid w:val="14022A14"/>
    <w:rsid w:val="15E11B06"/>
    <w:rsid w:val="1A6820E6"/>
    <w:rsid w:val="1BF6798D"/>
    <w:rsid w:val="1D0C0DC2"/>
    <w:rsid w:val="1D5822E5"/>
    <w:rsid w:val="1DE101C9"/>
    <w:rsid w:val="1E3D6E8C"/>
    <w:rsid w:val="1F460C2C"/>
    <w:rsid w:val="20104A4D"/>
    <w:rsid w:val="224439C7"/>
    <w:rsid w:val="22576CAC"/>
    <w:rsid w:val="22AC6FF8"/>
    <w:rsid w:val="232601D8"/>
    <w:rsid w:val="23DF33FD"/>
    <w:rsid w:val="24156E1F"/>
    <w:rsid w:val="24525F11"/>
    <w:rsid w:val="251946ED"/>
    <w:rsid w:val="25F82554"/>
    <w:rsid w:val="26084E8D"/>
    <w:rsid w:val="26763B2C"/>
    <w:rsid w:val="26BE19EF"/>
    <w:rsid w:val="273332C4"/>
    <w:rsid w:val="29003BF9"/>
    <w:rsid w:val="295757E3"/>
    <w:rsid w:val="2A9036A3"/>
    <w:rsid w:val="2C994A93"/>
    <w:rsid w:val="2D720E3E"/>
    <w:rsid w:val="2FF129B0"/>
    <w:rsid w:val="306E71AA"/>
    <w:rsid w:val="3464305B"/>
    <w:rsid w:val="357228B2"/>
    <w:rsid w:val="366C5639"/>
    <w:rsid w:val="37272C99"/>
    <w:rsid w:val="3A473858"/>
    <w:rsid w:val="3BD24561"/>
    <w:rsid w:val="3D603A29"/>
    <w:rsid w:val="3D7D45DC"/>
    <w:rsid w:val="412A5187"/>
    <w:rsid w:val="422619BB"/>
    <w:rsid w:val="42507F9E"/>
    <w:rsid w:val="42632C08"/>
    <w:rsid w:val="437137F7"/>
    <w:rsid w:val="45E943A6"/>
    <w:rsid w:val="46083D67"/>
    <w:rsid w:val="47091ABF"/>
    <w:rsid w:val="47DF73C9"/>
    <w:rsid w:val="47FE0858"/>
    <w:rsid w:val="4A3406E6"/>
    <w:rsid w:val="4B3922EF"/>
    <w:rsid w:val="4C9646F1"/>
    <w:rsid w:val="4DED0341"/>
    <w:rsid w:val="4E5C1022"/>
    <w:rsid w:val="519A0C31"/>
    <w:rsid w:val="530519A0"/>
    <w:rsid w:val="54DC562C"/>
    <w:rsid w:val="550D751A"/>
    <w:rsid w:val="55BA1450"/>
    <w:rsid w:val="55C23E61"/>
    <w:rsid w:val="5630534C"/>
    <w:rsid w:val="56764DC5"/>
    <w:rsid w:val="56A328E8"/>
    <w:rsid w:val="56DF6057"/>
    <w:rsid w:val="56F33A85"/>
    <w:rsid w:val="57174680"/>
    <w:rsid w:val="571E55B1"/>
    <w:rsid w:val="573126AF"/>
    <w:rsid w:val="57A52C26"/>
    <w:rsid w:val="589D2963"/>
    <w:rsid w:val="589F66DB"/>
    <w:rsid w:val="58AF70CE"/>
    <w:rsid w:val="5A3F00FB"/>
    <w:rsid w:val="5C2B40FC"/>
    <w:rsid w:val="5C6520CD"/>
    <w:rsid w:val="5CC70960"/>
    <w:rsid w:val="5D02513D"/>
    <w:rsid w:val="5D8B6017"/>
    <w:rsid w:val="5DA026D7"/>
    <w:rsid w:val="5DC7295C"/>
    <w:rsid w:val="5F8474E0"/>
    <w:rsid w:val="60623AEF"/>
    <w:rsid w:val="60805044"/>
    <w:rsid w:val="60A05AA7"/>
    <w:rsid w:val="61101F7A"/>
    <w:rsid w:val="618C19F7"/>
    <w:rsid w:val="633A3BD0"/>
    <w:rsid w:val="63BE4392"/>
    <w:rsid w:val="63E53483"/>
    <w:rsid w:val="64DB0A9B"/>
    <w:rsid w:val="658C635C"/>
    <w:rsid w:val="6844408A"/>
    <w:rsid w:val="68B55FE4"/>
    <w:rsid w:val="68C331B9"/>
    <w:rsid w:val="695A2407"/>
    <w:rsid w:val="69891C9D"/>
    <w:rsid w:val="699F478D"/>
    <w:rsid w:val="6A136F29"/>
    <w:rsid w:val="6A1E27E4"/>
    <w:rsid w:val="6B036F9E"/>
    <w:rsid w:val="6B476E8A"/>
    <w:rsid w:val="6B531FF1"/>
    <w:rsid w:val="6C985FC5"/>
    <w:rsid w:val="6D371181"/>
    <w:rsid w:val="6F9B1682"/>
    <w:rsid w:val="717D604E"/>
    <w:rsid w:val="71987B1D"/>
    <w:rsid w:val="71CB2FC0"/>
    <w:rsid w:val="73597E61"/>
    <w:rsid w:val="75355FA6"/>
    <w:rsid w:val="757B0109"/>
    <w:rsid w:val="783267CC"/>
    <w:rsid w:val="79BC4EE7"/>
    <w:rsid w:val="7A1F0FD2"/>
    <w:rsid w:val="7A420C01"/>
    <w:rsid w:val="7A872C09"/>
    <w:rsid w:val="7B973168"/>
    <w:rsid w:val="7D0A254B"/>
    <w:rsid w:val="7D2C4132"/>
    <w:rsid w:val="7E2E7A36"/>
    <w:rsid w:val="7E6E2756"/>
    <w:rsid w:val="7E96406C"/>
    <w:rsid w:val="7F53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autoRedefine/>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35"/>
    <w:autoRedefine/>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23">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10"/>
      <w:jc w:val="left"/>
    </w:pPr>
    <w:rPr>
      <w:rFonts w:ascii="宋体" w:hAnsi="宋体" w:eastAsia="宋体"/>
      <w:kern w:val="0"/>
      <w:sz w:val="20"/>
      <w:szCs w:val="20"/>
      <w:lang w:eastAsia="en-US"/>
    </w:rPr>
  </w:style>
  <w:style w:type="paragraph" w:styleId="6">
    <w:name w:val="caption"/>
    <w:basedOn w:val="1"/>
    <w:next w:val="1"/>
    <w:autoRedefine/>
    <w:qFormat/>
    <w:uiPriority w:val="0"/>
    <w:pPr>
      <w:spacing w:line="360" w:lineRule="auto"/>
      <w:ind w:firstLine="200" w:firstLineChars="200"/>
      <w:jc w:val="center"/>
      <w:outlineLvl w:val="2"/>
    </w:pPr>
    <w:rPr>
      <w:rFonts w:ascii="Times New Roman" w:hAnsi="Times New Roman" w:eastAsia="黑体" w:cs="Times New Roman"/>
      <w:bCs/>
      <w:sz w:val="28"/>
      <w:szCs w:val="24"/>
    </w:rPr>
  </w:style>
  <w:style w:type="paragraph" w:styleId="7">
    <w:name w:val="Document Map"/>
    <w:basedOn w:val="1"/>
    <w:link w:val="34"/>
    <w:autoRedefine/>
    <w:semiHidden/>
    <w:unhideWhenUsed/>
    <w:qFormat/>
    <w:uiPriority w:val="99"/>
    <w:rPr>
      <w:rFonts w:ascii="宋体" w:eastAsia="宋体"/>
      <w:sz w:val="18"/>
      <w:szCs w:val="18"/>
    </w:rPr>
  </w:style>
  <w:style w:type="paragraph" w:styleId="8">
    <w:name w:val="annotation text"/>
    <w:basedOn w:val="1"/>
    <w:link w:val="52"/>
    <w:autoRedefine/>
    <w:semiHidden/>
    <w:unhideWhenUsed/>
    <w:qFormat/>
    <w:uiPriority w:val="99"/>
    <w:pPr>
      <w:jc w:val="left"/>
    </w:pPr>
  </w:style>
  <w:style w:type="paragraph" w:styleId="9">
    <w:name w:val="toc 3"/>
    <w:basedOn w:val="1"/>
    <w:next w:val="1"/>
    <w:autoRedefine/>
    <w:unhideWhenUsed/>
    <w:qFormat/>
    <w:uiPriority w:val="39"/>
    <w:pPr>
      <w:ind w:left="840" w:leftChars="400"/>
    </w:pPr>
  </w:style>
  <w:style w:type="paragraph" w:styleId="10">
    <w:name w:val="Balloon Text"/>
    <w:basedOn w:val="1"/>
    <w:link w:val="42"/>
    <w:autoRedefine/>
    <w:semiHidden/>
    <w:unhideWhenUsed/>
    <w:qFormat/>
    <w:uiPriority w:val="99"/>
    <w:pPr>
      <w:spacing w:line="240" w:lineRule="auto"/>
    </w:pPr>
    <w:rPr>
      <w:sz w:val="18"/>
      <w:szCs w:val="18"/>
    </w:rPr>
  </w:style>
  <w:style w:type="paragraph" w:styleId="11">
    <w:name w:val="footer"/>
    <w:basedOn w:val="1"/>
    <w:link w:val="29"/>
    <w:autoRedefine/>
    <w:unhideWhenUsed/>
    <w:qFormat/>
    <w:uiPriority w:val="99"/>
    <w:pPr>
      <w:tabs>
        <w:tab w:val="center" w:pos="4153"/>
        <w:tab w:val="right" w:pos="8306"/>
      </w:tabs>
      <w:snapToGrid w:val="0"/>
      <w:jc w:val="left"/>
    </w:pPr>
    <w:rPr>
      <w:sz w:val="18"/>
      <w:szCs w:val="18"/>
    </w:rPr>
  </w:style>
  <w:style w:type="paragraph" w:styleId="12">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39"/>
    <w:pPr>
      <w:ind w:left="420" w:leftChars="200" w:firstLine="320" w:firstLineChars="100"/>
    </w:pPr>
    <w:rPr>
      <w:rFonts w:ascii="黑体" w:hAnsi="黑体" w:eastAsia="黑体"/>
      <w:sz w:val="32"/>
      <w:szCs w:val="32"/>
    </w:rPr>
  </w:style>
  <w:style w:type="paragraph" w:styleId="15">
    <w:name w:val="HTML Preformatted"/>
    <w:basedOn w:val="1"/>
    <w:link w:val="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hint="eastAsia" w:ascii="宋体" w:hAnsi="宋体" w:eastAsia="宋体" w:cs="Times New Roman"/>
      <w:kern w:val="0"/>
      <w:sz w:val="24"/>
      <w:szCs w:val="24"/>
    </w:rPr>
  </w:style>
  <w:style w:type="paragraph" w:styleId="16">
    <w:name w:val="Normal (Web)"/>
    <w:basedOn w:val="1"/>
    <w:autoRedefine/>
    <w:unhideWhenUsed/>
    <w:qFormat/>
    <w:uiPriority w:val="99"/>
    <w:pPr>
      <w:spacing w:beforeAutospacing="1" w:afterAutospacing="1"/>
      <w:jc w:val="left"/>
    </w:pPr>
    <w:rPr>
      <w:rFonts w:cs="Times New Roman"/>
      <w:kern w:val="0"/>
      <w:sz w:val="24"/>
    </w:rPr>
  </w:style>
  <w:style w:type="paragraph" w:styleId="17">
    <w:name w:val="annotation subject"/>
    <w:basedOn w:val="8"/>
    <w:next w:val="8"/>
    <w:link w:val="53"/>
    <w:autoRedefine/>
    <w:semiHidden/>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Light List Accent 6"/>
    <w:basedOn w:val="18"/>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21">
    <w:name w:val="Light Grid Accent 5"/>
    <w:basedOn w:val="18"/>
    <w:autoRedefine/>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22">
    <w:name w:val="Medium Shading 1 Accent 1"/>
    <w:basedOn w:val="18"/>
    <w:autoRedefine/>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24">
    <w:name w:val="Strong"/>
    <w:basedOn w:val="23"/>
    <w:autoRedefine/>
    <w:qFormat/>
    <w:uiPriority w:val="22"/>
    <w:rPr>
      <w:b/>
    </w:rPr>
  </w:style>
  <w:style w:type="character" w:styleId="25">
    <w:name w:val="Hyperlink"/>
    <w:basedOn w:val="23"/>
    <w:autoRedefine/>
    <w:unhideWhenUsed/>
    <w:qFormat/>
    <w:uiPriority w:val="99"/>
    <w:rPr>
      <w:color w:val="0000FF"/>
      <w:u w:val="single"/>
    </w:rPr>
  </w:style>
  <w:style w:type="character" w:styleId="26">
    <w:name w:val="annotation reference"/>
    <w:basedOn w:val="23"/>
    <w:autoRedefine/>
    <w:semiHidden/>
    <w:unhideWhenUsed/>
    <w:qFormat/>
    <w:uiPriority w:val="99"/>
    <w:rPr>
      <w:sz w:val="21"/>
      <w:szCs w:val="21"/>
    </w:rPr>
  </w:style>
  <w:style w:type="paragraph" w:styleId="27">
    <w:name w:val="No Spacing"/>
    <w:autoRedefine/>
    <w:qFormat/>
    <w:uiPriority w:val="1"/>
    <w:pPr>
      <w:widowControl w:val="0"/>
      <w:spacing w:line="360" w:lineRule="auto"/>
      <w:contextualSpacing/>
      <w:jc w:val="center"/>
    </w:pPr>
    <w:rPr>
      <w:rFonts w:ascii="宋体" w:hAnsi="宋体" w:eastAsia="宋体" w:cstheme="minorBidi"/>
      <w:kern w:val="2"/>
      <w:sz w:val="21"/>
      <w:szCs w:val="22"/>
      <w:lang w:val="en-US" w:eastAsia="zh-CN" w:bidi="ar-SA"/>
    </w:rPr>
  </w:style>
  <w:style w:type="character" w:customStyle="1" w:styleId="28">
    <w:name w:val="页眉 字符"/>
    <w:basedOn w:val="23"/>
    <w:link w:val="12"/>
    <w:autoRedefine/>
    <w:semiHidden/>
    <w:qFormat/>
    <w:uiPriority w:val="99"/>
    <w:rPr>
      <w:rFonts w:asciiTheme="minorHAnsi" w:hAnsiTheme="minorHAnsi" w:eastAsiaTheme="minorEastAsia" w:cstheme="minorBidi"/>
      <w:kern w:val="2"/>
      <w:sz w:val="18"/>
      <w:szCs w:val="18"/>
    </w:rPr>
  </w:style>
  <w:style w:type="character" w:customStyle="1" w:styleId="29">
    <w:name w:val="页脚 字符"/>
    <w:basedOn w:val="23"/>
    <w:link w:val="11"/>
    <w:autoRedefine/>
    <w:qFormat/>
    <w:uiPriority w:val="99"/>
    <w:rPr>
      <w:rFonts w:asciiTheme="minorHAnsi" w:hAnsiTheme="minorHAnsi" w:eastAsiaTheme="minorEastAsia" w:cstheme="minorBidi"/>
      <w:kern w:val="2"/>
      <w:sz w:val="18"/>
      <w:szCs w:val="18"/>
    </w:rPr>
  </w:style>
  <w:style w:type="character" w:customStyle="1" w:styleId="30">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31">
    <w:name w:val="UserStyle_0"/>
    <w:basedOn w:val="1"/>
    <w:autoRedefine/>
    <w:qFormat/>
    <w:uiPriority w:val="0"/>
    <w:pPr>
      <w:ind w:firstLine="420" w:firstLineChars="200"/>
      <w:textAlignment w:val="baseline"/>
    </w:pPr>
    <w:rPr>
      <w:rFonts w:ascii="Times New Roman" w:hAnsi="Times New Roman" w:eastAsia="宋体" w:cs="Times New Roman"/>
      <w:szCs w:val="24"/>
    </w:rPr>
  </w:style>
  <w:style w:type="paragraph" w:customStyle="1" w:styleId="32">
    <w:name w:val="正文首行缩进 21"/>
    <w:basedOn w:val="1"/>
    <w:autoRedefine/>
    <w:qFormat/>
    <w:uiPriority w:val="0"/>
    <w:pPr>
      <w:spacing w:line="360" w:lineRule="auto"/>
      <w:ind w:firstLine="420" w:firstLineChars="200"/>
      <w:textAlignment w:val="baseline"/>
    </w:pPr>
    <w:rPr>
      <w:rFonts w:ascii="Times New Roman" w:hAnsi="Times New Roman" w:eastAsia="宋体" w:cs="Times New Roman"/>
      <w:sz w:val="24"/>
      <w:szCs w:val="24"/>
    </w:rPr>
  </w:style>
  <w:style w:type="paragraph" w:customStyle="1" w:styleId="33">
    <w:name w:val="UserStyle_1"/>
    <w:basedOn w:val="31"/>
    <w:autoRedefine/>
    <w:qFormat/>
    <w:uiPriority w:val="0"/>
    <w:pPr>
      <w:spacing w:line="360" w:lineRule="auto"/>
    </w:pPr>
    <w:rPr>
      <w:sz w:val="24"/>
    </w:rPr>
  </w:style>
  <w:style w:type="character" w:customStyle="1" w:styleId="34">
    <w:name w:val="文档结构图 字符"/>
    <w:basedOn w:val="23"/>
    <w:link w:val="7"/>
    <w:autoRedefine/>
    <w:semiHidden/>
    <w:qFormat/>
    <w:uiPriority w:val="99"/>
    <w:rPr>
      <w:rFonts w:ascii="宋体" w:hAnsiTheme="minorHAnsi" w:cstheme="minorBidi"/>
      <w:kern w:val="2"/>
      <w:sz w:val="18"/>
      <w:szCs w:val="18"/>
    </w:rPr>
  </w:style>
  <w:style w:type="character" w:customStyle="1" w:styleId="35">
    <w:name w:val="标题 2 字符"/>
    <w:basedOn w:val="23"/>
    <w:link w:val="4"/>
    <w:autoRedefine/>
    <w:semiHidden/>
    <w:qFormat/>
    <w:uiPriority w:val="9"/>
    <w:rPr>
      <w:rFonts w:asciiTheme="majorHAnsi" w:hAnsiTheme="majorHAnsi" w:eastAsiaTheme="majorEastAsia" w:cstheme="majorBidi"/>
      <w:b/>
      <w:bCs/>
      <w:kern w:val="2"/>
      <w:sz w:val="32"/>
      <w:szCs w:val="32"/>
    </w:rPr>
  </w:style>
  <w:style w:type="paragraph" w:customStyle="1" w:styleId="36">
    <w:name w:val="公文正文"/>
    <w:basedOn w:val="1"/>
    <w:link w:val="39"/>
    <w:autoRedefine/>
    <w:qFormat/>
    <w:uiPriority w:val="0"/>
    <w:pPr>
      <w:wordWrap w:val="0"/>
      <w:spacing w:line="560" w:lineRule="exact"/>
      <w:ind w:firstLine="482" w:firstLineChars="200"/>
      <w:jc w:val="left"/>
      <w:textAlignment w:val="baseline"/>
    </w:pPr>
    <w:rPr>
      <w:rFonts w:ascii="仿宋_GB2312" w:hAnsi="仿宋_GB2312" w:eastAsia="仿宋_GB2312" w:cs="Times New Roman"/>
      <w:kern w:val="0"/>
      <w:sz w:val="32"/>
      <w:szCs w:val="20"/>
    </w:rPr>
  </w:style>
  <w:style w:type="paragraph" w:customStyle="1" w:styleId="37">
    <w:name w:val="公文一级标题"/>
    <w:basedOn w:val="36"/>
    <w:link w:val="38"/>
    <w:autoRedefine/>
    <w:qFormat/>
    <w:uiPriority w:val="0"/>
    <w:pPr>
      <w:numPr>
        <w:ilvl w:val="0"/>
        <w:numId w:val="1"/>
      </w:numPr>
      <w:ind w:firstLine="482"/>
    </w:pPr>
    <w:rPr>
      <w:rFonts w:ascii="黑体" w:hAnsi="黑体" w:eastAsia="黑体"/>
    </w:rPr>
  </w:style>
  <w:style w:type="character" w:customStyle="1" w:styleId="38">
    <w:name w:val="公文一级标题 Char"/>
    <w:link w:val="37"/>
    <w:autoRedefine/>
    <w:qFormat/>
    <w:uiPriority w:val="0"/>
    <w:rPr>
      <w:rFonts w:ascii="黑体" w:hAnsi="黑体" w:eastAsia="黑体"/>
      <w:sz w:val="32"/>
    </w:rPr>
  </w:style>
  <w:style w:type="character" w:customStyle="1" w:styleId="39">
    <w:name w:val="公文正文 Char"/>
    <w:link w:val="36"/>
    <w:autoRedefine/>
    <w:qFormat/>
    <w:uiPriority w:val="0"/>
    <w:rPr>
      <w:rFonts w:ascii="仿宋_GB2312" w:hAnsi="仿宋_GB2312" w:eastAsia="仿宋_GB2312"/>
      <w:sz w:val="32"/>
    </w:rPr>
  </w:style>
  <w:style w:type="character" w:customStyle="1" w:styleId="40">
    <w:name w:val="HTML 预设格式 字符"/>
    <w:basedOn w:val="23"/>
    <w:link w:val="15"/>
    <w:autoRedefine/>
    <w:qFormat/>
    <w:uiPriority w:val="0"/>
    <w:rPr>
      <w:rFonts w:ascii="宋体" w:hAnsi="宋体"/>
      <w:sz w:val="24"/>
      <w:szCs w:val="24"/>
    </w:rPr>
  </w:style>
  <w:style w:type="paragraph" w:customStyle="1" w:styleId="41">
    <w:name w:val="BodyText1I"/>
    <w:basedOn w:val="1"/>
    <w:autoRedefine/>
    <w:qFormat/>
    <w:uiPriority w:val="0"/>
    <w:pPr>
      <w:widowControl/>
      <w:spacing w:after="120" w:line="240" w:lineRule="auto"/>
      <w:ind w:firstLine="420" w:firstLineChars="100"/>
    </w:pPr>
    <w:rPr>
      <w:szCs w:val="24"/>
    </w:rPr>
  </w:style>
  <w:style w:type="character" w:customStyle="1" w:styleId="42">
    <w:name w:val="批注框文本 字符"/>
    <w:basedOn w:val="23"/>
    <w:link w:val="10"/>
    <w:autoRedefine/>
    <w:semiHidden/>
    <w:qFormat/>
    <w:uiPriority w:val="99"/>
    <w:rPr>
      <w:rFonts w:asciiTheme="minorHAnsi" w:hAnsiTheme="minorHAnsi" w:eastAsiaTheme="minorEastAsia" w:cstheme="minorBidi"/>
      <w:kern w:val="2"/>
      <w:sz w:val="18"/>
      <w:szCs w:val="18"/>
    </w:rPr>
  </w:style>
  <w:style w:type="character" w:customStyle="1" w:styleId="43">
    <w:name w:val="标题 1 字符"/>
    <w:basedOn w:val="23"/>
    <w:link w:val="3"/>
    <w:qFormat/>
    <w:uiPriority w:val="9"/>
    <w:rPr>
      <w:rFonts w:asciiTheme="minorHAnsi" w:hAnsiTheme="minorHAnsi" w:eastAsiaTheme="minorEastAsia" w:cstheme="minorBidi"/>
      <w:b/>
      <w:bCs/>
      <w:kern w:val="44"/>
      <w:sz w:val="44"/>
      <w:szCs w:val="44"/>
    </w:rPr>
  </w:style>
  <w:style w:type="paragraph" w:customStyle="1" w:styleId="4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5">
    <w:name w:val="font01"/>
    <w:basedOn w:val="23"/>
    <w:autoRedefine/>
    <w:qFormat/>
    <w:uiPriority w:val="0"/>
    <w:rPr>
      <w:rFonts w:hint="default" w:ascii="Times New Roman" w:hAnsi="Times New Roman" w:cs="Times New Roman"/>
      <w:color w:val="000000"/>
      <w:sz w:val="24"/>
      <w:szCs w:val="24"/>
      <w:u w:val="none"/>
    </w:rPr>
  </w:style>
  <w:style w:type="paragraph" w:customStyle="1" w:styleId="46">
    <w:name w:val="BodyText1I2"/>
    <w:basedOn w:val="1"/>
    <w:autoRedefine/>
    <w:qFormat/>
    <w:uiPriority w:val="0"/>
    <w:pPr>
      <w:spacing w:after="120" w:line="240" w:lineRule="auto"/>
      <w:ind w:left="420" w:leftChars="200" w:firstLine="420"/>
    </w:pPr>
    <w:rPr>
      <w:rFonts w:ascii="Times New Roman" w:hAnsi="Times New Roman" w:eastAsia="宋体" w:cs="Times New Roman"/>
      <w:sz w:val="30"/>
    </w:rPr>
  </w:style>
  <w:style w:type="table" w:customStyle="1" w:styleId="47">
    <w:name w:val="中等深浅列表 1 - 强调文字颜色 11"/>
    <w:basedOn w:val="18"/>
    <w:autoRedefine/>
    <w:qFormat/>
    <w:uiPriority w:val="65"/>
    <w:rPr>
      <w:color w:val="000000" w:themeColor="text1"/>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cPr>
        <w:tcBorders>
          <w:top w:val="nil"/>
          <w:bottom w:val="single" w:color="5B9BD5" w:themeColor="accent1" w:sz="8" w:space="0"/>
        </w:tcBorders>
      </w:tcPr>
    </w:tblStylePr>
    <w:tblStylePr w:type="lastRow">
      <w:rPr>
        <w:b/>
        <w:bCs/>
        <w:color w:val="44546A" w:themeColor="text2"/>
      </w:rPr>
      <w:tcPr>
        <w:tcBorders>
          <w:top w:val="single" w:color="5B9BD5" w:themeColor="accent1" w:sz="8" w:space="0"/>
          <w:bottom w:val="single" w:color="5B9BD5" w:themeColor="accent1" w:sz="8" w:space="0"/>
        </w:tcBorders>
      </w:tcPr>
    </w:tblStylePr>
    <w:tblStylePr w:type="firstCol">
      <w:rPr>
        <w:b/>
        <w:bCs/>
      </w:rPr>
    </w:tblStylePr>
    <w:tblStylePr w:type="lastCol">
      <w:rPr>
        <w:b/>
        <w:bCs/>
      </w:rPr>
      <w:tcPr>
        <w:tcBorders>
          <w:top w:val="single" w:color="5B9BD5" w:themeColor="accent1" w:sz="8" w:space="0"/>
          <w:bottom w:val="single" w:color="5B9BD5" w:themeColor="accent1" w:sz="8" w:space="0"/>
        </w:tcBorders>
      </w:tcPr>
    </w:tblStylePr>
    <w:tblStylePr w:type="band1Vert">
      <w:tcPr>
        <w:shd w:val="clear" w:color="auto" w:fill="D6E6F4" w:themeFill="accent1" w:themeFillTint="3F"/>
      </w:tcPr>
    </w:tblStylePr>
    <w:tblStylePr w:type="band1Horz">
      <w:tcPr>
        <w:shd w:val="clear" w:color="auto" w:fill="D6E6F4" w:themeFill="accent1" w:themeFillTint="3F"/>
      </w:tcPr>
    </w:tblStylePr>
  </w:style>
  <w:style w:type="table" w:customStyle="1" w:styleId="48">
    <w:name w:val="浅色底纹 - 强调文字颜色 11"/>
    <w:basedOn w:val="18"/>
    <w:autoRedefine/>
    <w:qFormat/>
    <w:uiPriority w:val="60"/>
    <w:rPr>
      <w:color w:val="2E75B5"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table" w:customStyle="1" w:styleId="49">
    <w:name w:val="浅色列表 - 强调文字颜色 11"/>
    <w:basedOn w:val="18"/>
    <w:autoRedefine/>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cPr>
        <w:shd w:val="clear" w:color="auto" w:fill="5B9BD5" w:themeFill="accent1"/>
      </w:tcPr>
    </w:tblStylePr>
    <w:tblStylePr w:type="lastRow">
      <w:pPr>
        <w:spacing w:before="0" w:after="0" w:line="240" w:lineRule="auto"/>
      </w:pPr>
      <w:rPr>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customStyle="1" w:styleId="50">
    <w:name w:val="中等深浅底纹 1 - 强调文字颜色 11"/>
    <w:basedOn w:val="18"/>
    <w:autoRedefine/>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r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6E6F4" w:themeFill="accent1" w:themeFillTint="3F"/>
      </w:tcPr>
    </w:tblStylePr>
    <w:tblStylePr w:type="band1Horz">
      <w:tcPr>
        <w:tcBorders>
          <w:insideH w:val="nil"/>
          <w:insideV w:val="nil"/>
        </w:tcBorders>
        <w:shd w:val="clear" w:color="auto" w:fill="D6E6F4" w:themeFill="accent1" w:themeFillTint="3F"/>
      </w:tcPr>
    </w:tblStylePr>
    <w:tblStylePr w:type="band2Horz">
      <w:tcPr>
        <w:tcBorders>
          <w:insideH w:val="nil"/>
          <w:insideV w:val="nil"/>
        </w:tcBorders>
      </w:tcPr>
    </w:tblStylePr>
  </w:style>
  <w:style w:type="table" w:customStyle="1" w:styleId="51">
    <w:name w:val="浅色网格 - 强调文字颜色 11"/>
    <w:basedOn w:val="18"/>
    <w:autoRedefine/>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character" w:customStyle="1" w:styleId="52">
    <w:name w:val="批注文字 字符"/>
    <w:basedOn w:val="23"/>
    <w:link w:val="8"/>
    <w:autoRedefine/>
    <w:semiHidden/>
    <w:qFormat/>
    <w:uiPriority w:val="99"/>
    <w:rPr>
      <w:rFonts w:asciiTheme="minorHAnsi" w:hAnsiTheme="minorHAnsi" w:eastAsiaTheme="minorEastAsia" w:cstheme="minorBidi"/>
      <w:kern w:val="2"/>
      <w:sz w:val="21"/>
      <w:szCs w:val="22"/>
    </w:rPr>
  </w:style>
  <w:style w:type="character" w:customStyle="1" w:styleId="53">
    <w:name w:val="批注主题 字符"/>
    <w:basedOn w:val="52"/>
    <w:link w:val="17"/>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H:\&#31038;&#31185;&#38498;&#39033;&#30446;\&#20154;&#21475;&#35268;&#21010;\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900"/>
              <a:t>万人 </a:t>
            </a:r>
            <a:endParaRPr lang="zh-CN" altLang="en-US" sz="900"/>
          </a:p>
        </c:rich>
      </c:tx>
      <c:layout>
        <c:manualLayout>
          <c:xMode val="edge"/>
          <c:yMode val="edge"/>
          <c:x val="0.0508217680388323"/>
          <c:y val="0.0287012237281082"/>
        </c:manualLayout>
      </c:layout>
      <c:overlay val="0"/>
      <c:spPr>
        <a:noFill/>
        <a:ln>
          <a:noFill/>
        </a:ln>
        <a:effectLst/>
      </c:spPr>
    </c:title>
    <c:autoTitleDeleted val="0"/>
    <c:plotArea>
      <c:layout>
        <c:manualLayout>
          <c:layoutTarget val="inner"/>
          <c:xMode val="edge"/>
          <c:yMode val="edge"/>
          <c:x val="0.0696497825831473"/>
          <c:y val="0.0780051150895141"/>
          <c:w val="0.905474595526305"/>
          <c:h val="0.725603640977103"/>
        </c:manualLayout>
      </c:layout>
      <c:barChart>
        <c:barDir val="col"/>
        <c:grouping val="clustered"/>
        <c:varyColors val="0"/>
        <c:ser>
          <c:idx val="0"/>
          <c:order val="0"/>
          <c:tx>
            <c:strRef>
              <c:f>Sheet1!$B$2</c:f>
              <c:strCache>
                <c:ptCount val="1"/>
                <c:pt idx="0">
                  <c:v>常住人口</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Sheet1!$A$3:$A$13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Sheet1!$B$3:$B$13</c:f>
              <c:numCache>
                <c:formatCode>General</c:formatCode>
                <c:ptCount val="11"/>
                <c:pt idx="0">
                  <c:v>40.67</c:v>
                </c:pt>
                <c:pt idx="1">
                  <c:v>40.55</c:v>
                </c:pt>
                <c:pt idx="2">
                  <c:v>40.32</c:v>
                </c:pt>
                <c:pt idx="3">
                  <c:v>40.09</c:v>
                </c:pt>
                <c:pt idx="4">
                  <c:v>40.04</c:v>
                </c:pt>
                <c:pt idx="5">
                  <c:v>39.9</c:v>
                </c:pt>
                <c:pt idx="6">
                  <c:v>39.77</c:v>
                </c:pt>
                <c:pt idx="7">
                  <c:v>39.66</c:v>
                </c:pt>
                <c:pt idx="8">
                  <c:v>39.55</c:v>
                </c:pt>
                <c:pt idx="9">
                  <c:v>39.5</c:v>
                </c:pt>
                <c:pt idx="10">
                  <c:v>39.44</c:v>
                </c:pt>
              </c:numCache>
            </c:numRef>
          </c:val>
        </c:ser>
        <c:ser>
          <c:idx val="1"/>
          <c:order val="1"/>
          <c:tx>
            <c:strRef>
              <c:f>Sheet1!$C$2</c:f>
              <c:strCache>
                <c:ptCount val="1"/>
                <c:pt idx="0">
                  <c:v>户籍人口</c:v>
                </c:pt>
              </c:strCache>
            </c:strRef>
          </c:tx>
          <c:spPr>
            <a:solidFill>
              <a:srgbClr val="5B9BD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Sheet1!$A$3:$A$13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Sheet1!$C$3:$C$13</c:f>
              <c:numCache>
                <c:formatCode>General</c:formatCode>
                <c:ptCount val="11"/>
                <c:pt idx="0">
                  <c:v>39.36</c:v>
                </c:pt>
                <c:pt idx="1">
                  <c:v>39.56</c:v>
                </c:pt>
                <c:pt idx="2">
                  <c:v>38.61</c:v>
                </c:pt>
                <c:pt idx="3">
                  <c:v>39.16</c:v>
                </c:pt>
                <c:pt idx="4">
                  <c:v>39.64</c:v>
                </c:pt>
                <c:pt idx="5">
                  <c:v>39.08</c:v>
                </c:pt>
                <c:pt idx="6">
                  <c:v>39.23</c:v>
                </c:pt>
                <c:pt idx="7">
                  <c:v>39.06</c:v>
                </c:pt>
                <c:pt idx="8">
                  <c:v>39.02</c:v>
                </c:pt>
                <c:pt idx="9">
                  <c:v>38.93</c:v>
                </c:pt>
                <c:pt idx="10">
                  <c:v>38.98</c:v>
                </c:pt>
              </c:numCache>
            </c:numRef>
          </c:val>
        </c:ser>
        <c:dLbls>
          <c:showLegendKey val="0"/>
          <c:showVal val="0"/>
          <c:showCatName val="0"/>
          <c:showSerName val="0"/>
          <c:showPercent val="0"/>
          <c:showBubbleSize val="0"/>
        </c:dLbls>
        <c:gapWidth val="150"/>
        <c:axId val="1630723311"/>
        <c:axId val="1630729135"/>
      </c:barChart>
      <c:catAx>
        <c:axId val="1630723311"/>
        <c:scaling>
          <c:orientation val="minMax"/>
        </c:scaling>
        <c:delete val="0"/>
        <c:axPos val="b"/>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630729135"/>
        <c:crosses val="autoZero"/>
        <c:auto val="1"/>
        <c:lblAlgn val="ctr"/>
        <c:lblOffset val="100"/>
        <c:noMultiLvlLbl val="0"/>
      </c:catAx>
      <c:valAx>
        <c:axId val="1630729135"/>
        <c:scaling>
          <c:orientation val="minMax"/>
        </c:scaling>
        <c:delete val="0"/>
        <c:axPos val="l"/>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63072331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3"/>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0.91349</cdr:x>
      <cdr:y>0.88218</cdr:y>
    </cdr:from>
    <cdr:to>
      <cdr:x>0.97213</cdr:x>
      <cdr:y>0.94326</cdr:y>
    </cdr:to>
    <cdr:sp>
      <cdr:nvSpPr>
        <cdr:cNvPr id="2" name="矩形 1"/>
        <cdr:cNvSpPr/>
      </cdr:nvSpPr>
      <cdr:spPr xmlns:a="http://schemas.openxmlformats.org/drawingml/2006/main">
        <a:xfrm xmlns:a="http://schemas.openxmlformats.org/drawingml/2006/main">
          <a:off x="5130102" y="2628388"/>
          <a:ext cx="329319" cy="181983"/>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900"/>
            <a:t>年份</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38BB6-D0EA-4177-B1AB-11FD395E4192}">
  <ds:schemaRefs/>
</ds:datastoreItem>
</file>

<file path=docProps/app.xml><?xml version="1.0" encoding="utf-8"?>
<Properties xmlns="http://schemas.openxmlformats.org/officeDocument/2006/extended-properties" xmlns:vt="http://schemas.openxmlformats.org/officeDocument/2006/docPropsVTypes">
  <Template>Normal</Template>
  <Pages>75</Pages>
  <Words>35245</Words>
  <Characters>37010</Characters>
  <Lines>284</Lines>
  <Paragraphs>80</Paragraphs>
  <TotalTime>42</TotalTime>
  <ScaleCrop>false</ScaleCrop>
  <LinksUpToDate>false</LinksUpToDate>
  <CharactersWithSpaces>37398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2023-08-14T05:13:00Z</dcterms:created>
  <dc:creator>admin</dc:creator>
  <cp:lastModifiedBy>136****7499</cp:lastModifiedBy>
  <cp:lastPrinted>2023-12-04T08:32:00Z</cp:lastPrinted>
  <dcterms:modified xsi:type="dcterms:W3CDTF">2023-12-21T03:17:00Z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E344C783843F47D0923AEE8A500A8AA1_13</vt:lpwstr>
  </property>
</Properties>
</file>