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汕尾市城区</w:t>
      </w:r>
      <w:r>
        <w:rPr>
          <w:rFonts w:hint="eastAsia" w:ascii="方正小标宋简体" w:hAnsi="方正小标宋简体" w:eastAsia="方正小标宋简体" w:cs="方正小标宋简体"/>
          <w:sz w:val="44"/>
          <w:szCs w:val="44"/>
        </w:rPr>
        <w:t>加强住宅小区配套幼儿园建设和管理工作的实施意见</w:t>
      </w:r>
    </w:p>
    <w:p>
      <w:pPr>
        <w:bidi w:val="0"/>
        <w:jc w:val="center"/>
        <w:rPr>
          <w:rFonts w:hint="eastAsia" w:ascii="方正小标宋简体" w:hAnsi="方正小标宋简体" w:eastAsia="方正小标宋简体" w:cs="方正小标宋简体"/>
          <w:sz w:val="32"/>
          <w:szCs w:val="32"/>
          <w:lang w:eastAsia="zh-CN"/>
        </w:rPr>
      </w:pPr>
    </w:p>
    <w:p>
      <w:pPr>
        <w:bidi w:val="0"/>
        <w:jc w:val="center"/>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keepNext w:val="0"/>
        <w:keepLines w:val="0"/>
        <w:pageBreakBefore w:val="0"/>
        <w:kinsoku/>
        <w:overflowPunct/>
        <w:topLinePunct w:val="0"/>
        <w:autoSpaceDE/>
        <w:autoSpaceDN/>
        <w:bidi w:val="0"/>
        <w:adjustRightInd/>
        <w:snapToGrid/>
        <w:spacing w:line="578"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为贯彻落实《国务院关于当前发展学前教育的若干</w:t>
      </w:r>
      <w:r>
        <w:rPr>
          <w:rFonts w:hint="eastAsia" w:ascii="仿宋" w:hAnsi="仿宋" w:eastAsia="仿宋" w:cs="仿宋"/>
          <w:sz w:val="32"/>
          <w:szCs w:val="32"/>
          <w:lang w:val="en-US" w:eastAsia="zh-CN"/>
        </w:rPr>
        <w:t>意</w:t>
      </w:r>
      <w:r>
        <w:rPr>
          <w:rFonts w:hint="eastAsia" w:ascii="仿宋" w:hAnsi="仿宋" w:eastAsia="仿宋" w:cs="仿宋"/>
          <w:sz w:val="32"/>
          <w:szCs w:val="32"/>
        </w:rPr>
        <w:t>见》（国发〔2010〕41号）和《关于加快我省学前教育发展的实施意见》（粤府〔2011〕64号），进一步规范我</w:t>
      </w:r>
      <w:r>
        <w:rPr>
          <w:rFonts w:hint="eastAsia" w:ascii="仿宋" w:hAnsi="仿宋" w:eastAsia="仿宋" w:cs="仿宋"/>
          <w:sz w:val="32"/>
          <w:szCs w:val="32"/>
          <w:lang w:eastAsia="zh-CN"/>
        </w:rPr>
        <w:t>区</w:t>
      </w:r>
      <w:r>
        <w:rPr>
          <w:rFonts w:hint="eastAsia" w:ascii="仿宋" w:hAnsi="仿宋" w:eastAsia="仿宋" w:cs="仿宋"/>
          <w:sz w:val="32"/>
          <w:szCs w:val="32"/>
        </w:rPr>
        <w:t>住宅小区配套幼儿园建设、管理和使用，根据《中华人民共和国城乡规划法》《中华人民共和国土地管理法》《城市房地产开发经营管理条例》等有关法律、法规，结合我</w:t>
      </w:r>
      <w:r>
        <w:rPr>
          <w:rFonts w:hint="eastAsia" w:ascii="仿宋" w:hAnsi="仿宋" w:eastAsia="仿宋" w:cs="仿宋"/>
          <w:sz w:val="32"/>
          <w:szCs w:val="32"/>
          <w:lang w:eastAsia="zh-CN"/>
        </w:rPr>
        <w:t>区</w:t>
      </w:r>
      <w:r>
        <w:rPr>
          <w:rFonts w:hint="eastAsia" w:ascii="仿宋" w:hAnsi="仿宋" w:eastAsia="仿宋" w:cs="仿宋"/>
          <w:sz w:val="32"/>
          <w:szCs w:val="32"/>
        </w:rPr>
        <w:t>实际情况，制定本实施意见。</w:t>
      </w:r>
    </w:p>
    <w:p>
      <w:pPr>
        <w:keepNext w:val="0"/>
        <w:keepLines w:val="0"/>
        <w:pageBreakBefore w:val="0"/>
        <w:kinsoku/>
        <w:overflowPunct/>
        <w:topLinePunct w:val="0"/>
        <w:autoSpaceDE/>
        <w:autoSpaceDN/>
        <w:bidi w:val="0"/>
        <w:adjustRightInd/>
        <w:snapToGrid/>
        <w:spacing w:line="578" w:lineRule="exact"/>
        <w:jc w:val="left"/>
        <w:textAlignment w:val="auto"/>
        <w:rPr>
          <w:rFonts w:hint="eastAsia" w:ascii="黑体" w:hAnsi="黑体" w:eastAsia="黑体" w:cs="黑体"/>
          <w:b w:val="0"/>
          <w:bCs w:val="0"/>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指导思想</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全面贯彻国家和省的学前教育工作部署，坚持公益性和普惠性，科学规划和合理布局城镇住宅小区配套幼儿园，建立住宅小区配套幼儿园建设、管理和使用的长效机制，满足适龄儿童入园需求，促进学前教育事业科学发展。</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eastAsia="zh-CN"/>
        </w:rPr>
        <w:t>二、基本原则</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一）科学规划。强化学前教育规划建设，努力构建覆盖城乡、布局合理的学前教育公共服务体系，保障适龄儿童就近接受公益性和普惠性学前教育。</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（二）注重实效。通过旧城改造、新建城镇住宅小区配套建设幼儿园等方式，规划建设住宅小区配套幼儿园，解决好城镇住宅小区配套幼儿园和城乡结合部幼儿园数量不足的问题。</w:t>
      </w:r>
    </w:p>
    <w:p>
      <w:pPr>
        <w:keepNext w:val="0"/>
        <w:keepLines w:val="0"/>
        <w:pageBreakBefore w:val="0"/>
        <w:kinsoku/>
        <w:overflowPunct/>
        <w:topLinePunct w:val="0"/>
        <w:autoSpaceDE/>
        <w:autoSpaceDN/>
        <w:bidi w:val="0"/>
        <w:adjustRightInd/>
        <w:snapToGrid/>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（三）同步推进。坚持统筹规划、合理布局、同步设计、同步建设、同步竣工、同步交付使用的原则，在城镇新建居住区和旧城改造工程中按规划配套建设幼儿园。</w:t>
      </w:r>
    </w:p>
    <w:p>
      <w:pPr>
        <w:keepNext w:val="0"/>
        <w:keepLines w:val="0"/>
        <w:pageBreakBefore w:val="0"/>
        <w:kinsoku/>
        <w:overflowPunct/>
        <w:topLinePunct w:val="0"/>
        <w:autoSpaceDE/>
        <w:autoSpaceDN/>
        <w:bidi w:val="0"/>
        <w:adjustRightInd/>
        <w:snapToGrid/>
        <w:spacing w:line="578"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（四）部门协作。各镇人民政府</w:t>
      </w:r>
      <w:r>
        <w:rPr>
          <w:rFonts w:hint="eastAsia" w:ascii="仿宋" w:hAnsi="仿宋" w:eastAsia="仿宋" w:cs="仿宋"/>
          <w:sz w:val="32"/>
          <w:szCs w:val="32"/>
          <w:lang w:eastAsia="zh-CN"/>
        </w:rPr>
        <w:t>、街道办事处</w:t>
      </w:r>
      <w:r>
        <w:rPr>
          <w:rFonts w:hint="eastAsia" w:ascii="仿宋" w:hAnsi="仿宋" w:eastAsia="仿宋" w:cs="仿宋"/>
          <w:sz w:val="32"/>
          <w:szCs w:val="32"/>
        </w:rPr>
        <w:t>及发改、教育、自然资源、住建、财政等行政部门应根据本规定和职能分工做好住宅小区配套幼儿园的立项、规划、用地、建设和竣工验收、移交和使用等工作。</w:t>
      </w:r>
    </w:p>
    <w:p>
      <w:pPr>
        <w:keepNext w:val="0"/>
        <w:keepLines w:val="0"/>
        <w:pageBreakBefore w:val="0"/>
        <w:kinsoku/>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三、规划和建设标准</w:t>
      </w:r>
    </w:p>
    <w:p>
      <w:pPr>
        <w:keepNext w:val="0"/>
        <w:keepLines w:val="0"/>
        <w:pageBreakBefore w:val="0"/>
        <w:kinsoku/>
        <w:overflowPunct/>
        <w:topLinePunct w:val="0"/>
        <w:autoSpaceDE/>
        <w:autoSpaceDN/>
        <w:bidi w:val="0"/>
        <w:adjustRightInd/>
        <w:snapToGrid/>
        <w:spacing w:line="578"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一）每4500人或以上人口区域内，预留一所6个班或以上（每班按30座计）规模的幼儿园建设用地。幼儿园应有独立的建筑用地和出入口，具体设置应达到以下标准（见下表），并统筹考虑当地经济社会发展、计划生育政策、区域学前教育事业发展等因素，适当提高幼儿园建设规模。</w:t>
      </w:r>
      <w:bookmarkStart w:id="0" w:name="_GoBack"/>
      <w:bookmarkEnd w:id="0"/>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服务规模（万人）</w:t>
            </w:r>
          </w:p>
        </w:tc>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幼儿园设置班数</w:t>
            </w:r>
          </w:p>
        </w:tc>
        <w:tc>
          <w:tcPr>
            <w:tcW w:w="2131" w:type="dxa"/>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default" w:ascii="仿宋" w:hAnsi="仿宋" w:eastAsia="微软雅黑" w:cs="仿宋"/>
                <w:sz w:val="32"/>
                <w:szCs w:val="32"/>
                <w:vertAlign w:val="baseline"/>
                <w:lang w:val="en-US" w:eastAsia="zh-CN"/>
              </w:rPr>
            </w:pPr>
            <w:r>
              <w:rPr>
                <w:rFonts w:hint="eastAsia" w:ascii="微软雅黑" w:hAnsi="微软雅黑" w:eastAsia="微软雅黑" w:cs="微软雅黑"/>
                <w:i w:val="0"/>
                <w:caps w:val="0"/>
                <w:color w:val="535353"/>
                <w:spacing w:val="0"/>
                <w:sz w:val="22"/>
                <w:szCs w:val="22"/>
              </w:rPr>
              <w:t>建筑面积</w:t>
            </w:r>
            <w:r>
              <w:rPr>
                <w:rFonts w:hint="eastAsia" w:ascii="微软雅黑" w:hAnsi="微软雅黑" w:eastAsia="微软雅黑" w:cs="微软雅黑"/>
                <w:i w:val="0"/>
                <w:caps w:val="0"/>
                <w:color w:val="535353"/>
                <w:spacing w:val="0"/>
                <w:sz w:val="22"/>
                <w:szCs w:val="22"/>
                <w:lang w:val="en-US" w:eastAsia="zh-CN"/>
              </w:rPr>
              <w:t>(</w:t>
            </w:r>
            <w:r>
              <w:rPr>
                <w:rFonts w:hint="eastAsia" w:ascii="微软雅黑" w:hAnsi="微软雅黑" w:eastAsia="微软雅黑" w:cs="微软雅黑"/>
                <w:i w:val="0"/>
                <w:caps w:val="0"/>
                <w:color w:val="535353"/>
                <w:spacing w:val="0"/>
                <w:sz w:val="22"/>
                <w:szCs w:val="22"/>
                <w:vertAlign w:val="baseline"/>
                <w:lang w:val="en-US" w:eastAsia="zh-CN"/>
              </w:rPr>
              <w:t>m</w:t>
            </w:r>
            <w:r>
              <w:rPr>
                <w:rFonts w:hint="eastAsia" w:ascii="微软雅黑" w:hAnsi="微软雅黑" w:eastAsia="微软雅黑" w:cs="微软雅黑"/>
                <w:i w:val="0"/>
                <w:caps w:val="0"/>
                <w:color w:val="535353"/>
                <w:spacing w:val="0"/>
                <w:sz w:val="22"/>
                <w:szCs w:val="22"/>
                <w:vertAlign w:val="superscript"/>
                <w:lang w:val="en-US" w:eastAsia="zh-CN"/>
              </w:rPr>
              <w:t>2</w:t>
            </w:r>
            <w:r>
              <w:rPr>
                <w:rFonts w:hint="eastAsia" w:ascii="微软雅黑" w:hAnsi="微软雅黑" w:eastAsia="微软雅黑" w:cs="微软雅黑"/>
                <w:i w:val="0"/>
                <w:caps w:val="0"/>
                <w:color w:val="535353"/>
                <w:spacing w:val="0"/>
                <w:sz w:val="22"/>
                <w:szCs w:val="22"/>
                <w:lang w:val="en-US" w:eastAsia="zh-CN"/>
              </w:rPr>
              <w:t>)</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default" w:ascii="仿宋" w:hAnsi="仿宋" w:eastAsia="微软雅黑" w:cs="仿宋"/>
                <w:sz w:val="32"/>
                <w:szCs w:val="32"/>
                <w:vertAlign w:val="baseline"/>
                <w:lang w:val="en-US" w:eastAsia="zh-CN"/>
              </w:rPr>
            </w:pPr>
            <w:r>
              <w:rPr>
                <w:rFonts w:hint="eastAsia" w:ascii="微软雅黑" w:hAnsi="微软雅黑" w:eastAsia="微软雅黑" w:cs="微软雅黑"/>
                <w:i w:val="0"/>
                <w:caps w:val="0"/>
                <w:color w:val="535353"/>
                <w:spacing w:val="0"/>
                <w:sz w:val="22"/>
                <w:szCs w:val="22"/>
              </w:rPr>
              <w:t>用地面积</w:t>
            </w:r>
            <w:r>
              <w:rPr>
                <w:rFonts w:hint="eastAsia" w:ascii="微软雅黑" w:hAnsi="微软雅黑" w:eastAsia="微软雅黑" w:cs="微软雅黑"/>
                <w:i w:val="0"/>
                <w:caps w:val="0"/>
                <w:color w:val="535353"/>
                <w:spacing w:val="0"/>
                <w:sz w:val="22"/>
                <w:szCs w:val="22"/>
                <w:lang w:val="en-US" w:eastAsia="zh-CN"/>
              </w:rPr>
              <w:t>(m</w:t>
            </w:r>
            <w:r>
              <w:rPr>
                <w:rFonts w:hint="eastAsia" w:ascii="微软雅黑" w:hAnsi="微软雅黑" w:eastAsia="微软雅黑" w:cs="微软雅黑"/>
                <w:i w:val="0"/>
                <w:caps w:val="0"/>
                <w:color w:val="535353"/>
                <w:spacing w:val="0"/>
                <w:sz w:val="22"/>
                <w:szCs w:val="22"/>
                <w:vertAlign w:val="superscript"/>
                <w:lang w:val="en-US" w:eastAsia="zh-CN"/>
              </w:rPr>
              <w:t>2</w:t>
            </w:r>
            <w:r>
              <w:rPr>
                <w:rFonts w:hint="eastAsia" w:ascii="微软雅黑" w:hAnsi="微软雅黑" w:eastAsia="微软雅黑" w:cs="微软雅黑"/>
                <w:i w:val="0"/>
                <w:caps w:val="0"/>
                <w:color w:val="535353"/>
                <w:spacing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0.45～0.6（含0.6）</w:t>
            </w:r>
          </w:p>
        </w:tc>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6班</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1270</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0.6～0.9（含0.9）</w:t>
            </w:r>
          </w:p>
        </w:tc>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9班</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1814</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0.9～1.1（含1.1）</w:t>
            </w:r>
          </w:p>
        </w:tc>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12班</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2354</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1.1～1.35（含1.35）</w:t>
            </w:r>
          </w:p>
        </w:tc>
        <w:tc>
          <w:tcPr>
            <w:tcW w:w="213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15班</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2927</w:t>
            </w:r>
          </w:p>
        </w:tc>
        <w:tc>
          <w:tcPr>
            <w:tcW w:w="213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rightChars="0"/>
              <w:jc w:val="center"/>
              <w:textAlignment w:val="auto"/>
              <w:rPr>
                <w:rFonts w:hint="eastAsia" w:ascii="仿宋" w:hAnsi="仿宋" w:eastAsia="仿宋" w:cs="仿宋"/>
                <w:sz w:val="32"/>
                <w:szCs w:val="32"/>
                <w:vertAlign w:val="baseline"/>
              </w:rPr>
            </w:pPr>
            <w:r>
              <w:rPr>
                <w:rFonts w:hint="eastAsia" w:ascii="微软雅黑" w:hAnsi="微软雅黑" w:eastAsia="微软雅黑" w:cs="微软雅黑"/>
                <w:i w:val="0"/>
                <w:caps w:val="0"/>
                <w:color w:val="535353"/>
                <w:spacing w:val="0"/>
                <w:sz w:val="22"/>
                <w:szCs w:val="22"/>
              </w:rPr>
              <w:t>4050</w:t>
            </w:r>
          </w:p>
        </w:tc>
      </w:tr>
    </w:tbl>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备注：超出1.35万人的住宅小区应分设2所以上的幼儿园。</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对住宅小区开发总量不达4500人（每户按3.2人计）的零星开发的商品房项目、保障性住宅项目和旧城区改造项目，根据规划标准和区域居住人口测算生源数量，按照幼儿园服务半径要求，结合实际另行规划预留住宅小区配套幼儿园建设用地。</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（三）住宅小区配套幼儿园要按照《托儿所、幼儿园建筑设计规范》（JGJ39-</w:t>
      </w:r>
      <w:r>
        <w:rPr>
          <w:rFonts w:hint="eastAsia" w:ascii="仿宋" w:hAnsi="仿宋" w:eastAsia="仿宋" w:cs="仿宋"/>
          <w:sz w:val="32"/>
          <w:szCs w:val="32"/>
          <w:lang w:val="en-US" w:eastAsia="zh-CN"/>
        </w:rPr>
        <w:t>2016</w:t>
      </w:r>
      <w:r>
        <w:rPr>
          <w:rFonts w:hint="eastAsia" w:ascii="仿宋" w:hAnsi="仿宋" w:eastAsia="仿宋" w:cs="仿宋"/>
          <w:sz w:val="32"/>
          <w:szCs w:val="32"/>
        </w:rPr>
        <w:t>）和《关于印发〈广东省教育厅关于规范化城市幼儿园的办园标准（试行）〉等3份文件的通知》（粤教基〔2012〕1号）的标准要求进行建设。</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（四）没有达到配套标准要求的住宅小区，可采取单独选址、改建、扩建或扩大区域内其他新建住宅小区配套幼儿园建设规模等形式配置幼儿园。</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eastAsia="zh-CN"/>
        </w:rPr>
        <w:t>四、工作要求</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w:t>
      </w:r>
      <w:r>
        <w:rPr>
          <w:rFonts w:hint="eastAsia" w:ascii="仿宋" w:hAnsi="仿宋" w:eastAsia="仿宋" w:cs="仿宋"/>
          <w:sz w:val="32"/>
          <w:szCs w:val="32"/>
          <w:lang w:eastAsia="zh-CN"/>
        </w:rPr>
        <w:t>区</w:t>
      </w:r>
      <w:r>
        <w:rPr>
          <w:rFonts w:hint="eastAsia" w:ascii="仿宋" w:hAnsi="仿宋" w:eastAsia="仿宋" w:cs="仿宋"/>
          <w:sz w:val="32"/>
          <w:szCs w:val="32"/>
        </w:rPr>
        <w:t>教育行政主管部门要会同发展</w:t>
      </w:r>
      <w:r>
        <w:rPr>
          <w:rFonts w:hint="eastAsia" w:ascii="仿宋" w:hAnsi="仿宋" w:eastAsia="仿宋" w:cs="仿宋"/>
          <w:sz w:val="32"/>
          <w:szCs w:val="32"/>
          <w:lang w:eastAsia="zh-CN"/>
        </w:rPr>
        <w:t>和</w:t>
      </w:r>
      <w:r>
        <w:rPr>
          <w:rFonts w:hint="eastAsia" w:ascii="仿宋" w:hAnsi="仿宋" w:eastAsia="仿宋" w:cs="仿宋"/>
          <w:sz w:val="32"/>
          <w:szCs w:val="32"/>
        </w:rPr>
        <w:t>改革、自然资源、住建、财政等部门，依据土地利用总体规划、城市总体规划和学前教育发展实际，编制幼儿园建设布局总体规划，报</w:t>
      </w:r>
      <w:r>
        <w:rPr>
          <w:rFonts w:hint="eastAsia" w:ascii="仿宋" w:hAnsi="仿宋" w:eastAsia="仿宋" w:cs="仿宋"/>
          <w:sz w:val="32"/>
          <w:szCs w:val="32"/>
          <w:lang w:eastAsia="zh-CN"/>
        </w:rPr>
        <w:t>区</w:t>
      </w:r>
      <w:r>
        <w:rPr>
          <w:rFonts w:hint="eastAsia" w:ascii="仿宋" w:hAnsi="仿宋" w:eastAsia="仿宋" w:cs="仿宋"/>
          <w:sz w:val="32"/>
          <w:szCs w:val="32"/>
        </w:rPr>
        <w:t>政府审批后实施。</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w:t>
      </w:r>
      <w:r>
        <w:rPr>
          <w:rFonts w:hint="eastAsia" w:ascii="仿宋" w:hAnsi="仿宋" w:eastAsia="仿宋" w:cs="仿宋"/>
          <w:sz w:val="32"/>
          <w:szCs w:val="32"/>
          <w:lang w:eastAsia="zh-CN"/>
        </w:rPr>
        <w:t>区</w:t>
      </w:r>
      <w:r>
        <w:rPr>
          <w:rFonts w:hint="eastAsia" w:ascii="仿宋" w:hAnsi="仿宋" w:eastAsia="仿宋" w:cs="仿宋"/>
          <w:sz w:val="32"/>
          <w:szCs w:val="32"/>
        </w:rPr>
        <w:t>自然资源行政主管部门应将幼儿园建设布局规划的有关内容纳入控制性详细规划，保证幼儿园的规模、数量与城市发展和人口增长相适应。根据学前教育规划和控制性详细规划需配套建设幼儿园的地块，在国有建设用地使用权出让公告中列明，并在国有建设用地使用权出让合同中约定应履行住宅小区配套幼儿园建设以及无偿移交给当地政府部门的责任和义务。在审查住宅小区建设项目规划建筑设计方案时，应根据规划条件和有关标准，审查配建幼儿园的用地、位置、建设规模等，并征求当地教育部门意见，不符合要求的不予审查通过。</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（三）住宅小区配套幼儿园属于公共教育资源，未经</w:t>
      </w:r>
      <w:r>
        <w:rPr>
          <w:rFonts w:hint="eastAsia" w:ascii="仿宋" w:hAnsi="仿宋" w:eastAsia="仿宋" w:cs="仿宋"/>
          <w:sz w:val="32"/>
          <w:szCs w:val="32"/>
          <w:lang w:eastAsia="zh-CN"/>
        </w:rPr>
        <w:t>区</w:t>
      </w:r>
      <w:r>
        <w:rPr>
          <w:rFonts w:hint="eastAsia" w:ascii="仿宋" w:hAnsi="仿宋" w:eastAsia="仿宋" w:cs="仿宋"/>
          <w:sz w:val="32"/>
          <w:szCs w:val="32"/>
        </w:rPr>
        <w:t>政府及相关职能部门批准，任何单位和个人不得擅自拆除、改建、扩建、出租、出售、转让、抵押住宅小区配套幼儿园，不得擅自改变其用途。确需更改幼儿园建设用地的，须经</w:t>
      </w:r>
      <w:r>
        <w:rPr>
          <w:rFonts w:hint="eastAsia" w:ascii="仿宋" w:hAnsi="仿宋" w:eastAsia="仿宋" w:cs="仿宋"/>
          <w:sz w:val="32"/>
          <w:szCs w:val="32"/>
          <w:lang w:eastAsia="zh-CN"/>
        </w:rPr>
        <w:t>区</w:t>
      </w:r>
      <w:r>
        <w:rPr>
          <w:rFonts w:hint="eastAsia" w:ascii="仿宋" w:hAnsi="仿宋" w:eastAsia="仿宋" w:cs="仿宋"/>
          <w:sz w:val="32"/>
          <w:szCs w:val="32"/>
        </w:rPr>
        <w:t>自然资源主管部门批准，按照程序就近补还，补还建设用地不得少于原有用地面积。</w:t>
      </w:r>
    </w:p>
    <w:p>
      <w:pPr>
        <w:keepNext w:val="0"/>
        <w:keepLines w:val="0"/>
        <w:pageBreakBefore w:val="0"/>
        <w:kinsoku/>
        <w:overflowPunct/>
        <w:topLinePunct w:val="0"/>
        <w:autoSpaceDE/>
        <w:autoSpaceDN/>
        <w:bidi w:val="0"/>
        <w:adjustRightInd/>
        <w:snapToGrid/>
        <w:spacing w:line="578"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住宅小区配套幼儿园由居住区开发建设单位配套建设，并保证配套幼儿园建设与所在住宅小区开发建设同步设计、同步建设、同步竣工、同步交付使用。建设单位分期建设有配套幼儿园项目的住宅小区时，配套的幼儿园原则上应与第一期建设项目同步规划报建。</w:t>
      </w:r>
      <w:r>
        <w:rPr>
          <w:rFonts w:hint="eastAsia" w:ascii="仿宋" w:hAnsi="仿宋" w:eastAsia="仿宋" w:cs="仿宋"/>
          <w:sz w:val="32"/>
          <w:szCs w:val="32"/>
          <w:lang w:val="en-US" w:eastAsia="zh-CN"/>
        </w:rPr>
        <w:t>项目建设必须按照规定配建幼儿园设施或随所在居住区当期住宅项目同步建成，幼</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儿园建设必须符合相关建筑设计规范和省规范化幼儿园标准要求。</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分期开发的项目，配建的幼儿园应与开发项目首期同步验收；不分期整体开发的项目，开发单位在开发项目经营性部分验收前，应全部完成配建的幼儿园项目。开发单位应自住宅小区配套幼儿园竣工验收合格之日起30日内将完整的工程档案资料（设计、施工等图纸和房屋保修书、使用说明书、规划验收资料等材料）移交给</w:t>
      </w:r>
      <w:r>
        <w:rPr>
          <w:rFonts w:hint="eastAsia" w:ascii="仿宋" w:hAnsi="仿宋" w:eastAsia="仿宋" w:cs="仿宋"/>
          <w:sz w:val="32"/>
          <w:szCs w:val="32"/>
          <w:lang w:eastAsia="zh-CN"/>
        </w:rPr>
        <w:t>区</w:t>
      </w:r>
      <w:r>
        <w:rPr>
          <w:rFonts w:hint="eastAsia" w:ascii="仿宋" w:hAnsi="仿宋" w:eastAsia="仿宋" w:cs="仿宋"/>
          <w:sz w:val="32"/>
          <w:szCs w:val="32"/>
        </w:rPr>
        <w:t>教育行政主管部门，归口统一管理，统筹用于举办公办幼儿园，优先满足本小区居民适龄儿童就近入园。</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（六）对小区开发总量不达4500人（每户按3.2人计）的零星开发的商品房项目、保障性住宅项目和旧城区改造项目，纳入幼儿园建设布局总体规划，统筹解决幼儿园用地和建设问题。</w:t>
      </w:r>
    </w:p>
    <w:p>
      <w:pPr>
        <w:keepNext w:val="0"/>
        <w:keepLines w:val="0"/>
        <w:pageBreakBefore w:val="0"/>
        <w:kinsoku/>
        <w:overflowPunct/>
        <w:topLinePunct w:val="0"/>
        <w:autoSpaceDE/>
        <w:autoSpaceDN/>
        <w:bidi w:val="0"/>
        <w:adjustRightInd/>
        <w:snapToGrid/>
        <w:spacing w:line="578" w:lineRule="exact"/>
        <w:jc w:val="left"/>
        <w:textAlignment w:val="auto"/>
        <w:rPr>
          <w:rFonts w:hint="eastAsia" w:ascii="黑体" w:hAnsi="黑体" w:eastAsia="黑体" w:cs="黑体"/>
          <w:b w:val="0"/>
          <w:bCs w:val="0"/>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eastAsia="zh-CN"/>
        </w:rPr>
        <w:t>五、保障机制</w:t>
      </w:r>
    </w:p>
    <w:p>
      <w:pPr>
        <w:keepNext w:val="0"/>
        <w:keepLines w:val="0"/>
        <w:pageBreakBefore w:val="0"/>
        <w:kinsoku/>
        <w:overflowPunct/>
        <w:topLinePunct w:val="0"/>
        <w:autoSpaceDE/>
        <w:autoSpaceDN/>
        <w:bidi w:val="0"/>
        <w:adjustRightInd/>
        <w:snapToGrid/>
        <w:spacing w:line="578"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w:t>
      </w:r>
      <w:r>
        <w:rPr>
          <w:rFonts w:hint="eastAsia" w:ascii="仿宋" w:hAnsi="仿宋" w:eastAsia="仿宋" w:cs="仿宋"/>
          <w:sz w:val="32"/>
          <w:szCs w:val="32"/>
          <w:lang w:eastAsia="zh-CN"/>
        </w:rPr>
        <w:t>区</w:t>
      </w:r>
      <w:r>
        <w:rPr>
          <w:rFonts w:hint="eastAsia" w:ascii="仿宋" w:hAnsi="仿宋" w:eastAsia="仿宋" w:cs="仿宋"/>
          <w:sz w:val="32"/>
          <w:szCs w:val="32"/>
        </w:rPr>
        <w:t>政府将召集相关部门建立幼儿园规划、建设、使用的督促检查、考核奖惩和问责机制，落实住宅小区配套幼儿园的规划、建设、移交、办证、管理、使用、收费等规定，确保住宅小区配套幼儿园建设使用的各项政策得到落实。同时，组织开展现有住宅小区配套幼儿园的全面清查工作，原有住宅小区配套幼儿园闲置或改作他用的，要责令改正；原有住宅小区配套幼儿园没有达到建设规模或不足的，由</w:t>
      </w:r>
      <w:r>
        <w:rPr>
          <w:rFonts w:hint="eastAsia" w:ascii="仿宋" w:hAnsi="仿宋" w:eastAsia="仿宋" w:cs="仿宋"/>
          <w:sz w:val="32"/>
          <w:szCs w:val="32"/>
          <w:lang w:eastAsia="zh-CN"/>
        </w:rPr>
        <w:t>区</w:t>
      </w:r>
      <w:r>
        <w:rPr>
          <w:rFonts w:hint="eastAsia" w:ascii="仿宋" w:hAnsi="仿宋" w:eastAsia="仿宋" w:cs="仿宋"/>
          <w:sz w:val="32"/>
          <w:szCs w:val="32"/>
        </w:rPr>
        <w:t>教育行政主管部门会同</w:t>
      </w:r>
      <w:r>
        <w:rPr>
          <w:rFonts w:hint="eastAsia" w:ascii="仿宋" w:hAnsi="仿宋" w:eastAsia="仿宋" w:cs="仿宋"/>
          <w:sz w:val="32"/>
          <w:szCs w:val="32"/>
          <w:lang w:eastAsia="zh-CN"/>
        </w:rPr>
        <w:t>区自然资源、住建</w:t>
      </w:r>
      <w:r>
        <w:rPr>
          <w:rFonts w:hint="eastAsia" w:ascii="仿宋" w:hAnsi="仿宋" w:eastAsia="仿宋" w:cs="仿宋"/>
          <w:sz w:val="32"/>
          <w:szCs w:val="32"/>
        </w:rPr>
        <w:t>等部门编制补建方案，提交</w:t>
      </w:r>
      <w:r>
        <w:rPr>
          <w:rFonts w:hint="eastAsia" w:ascii="仿宋" w:hAnsi="仿宋" w:eastAsia="仿宋" w:cs="仿宋"/>
          <w:sz w:val="32"/>
          <w:szCs w:val="32"/>
          <w:lang w:eastAsia="zh-CN"/>
        </w:rPr>
        <w:t>区</w:t>
      </w:r>
      <w:r>
        <w:rPr>
          <w:rFonts w:hint="eastAsia" w:ascii="仿宋" w:hAnsi="仿宋" w:eastAsia="仿宋" w:cs="仿宋"/>
          <w:sz w:val="32"/>
          <w:szCs w:val="32"/>
        </w:rPr>
        <w:t>人民政府部门组织实施。</w:t>
      </w:r>
    </w:p>
    <w:p>
      <w:pPr>
        <w:keepNext w:val="0"/>
        <w:keepLines w:val="0"/>
        <w:pageBreakBefore w:val="0"/>
        <w:kinsoku/>
        <w:overflowPunct/>
        <w:topLinePunct w:val="0"/>
        <w:autoSpaceDE/>
        <w:autoSpaceDN/>
        <w:bidi w:val="0"/>
        <w:adjustRightInd/>
        <w:snapToGrid/>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w:t>
      </w:r>
      <w:r>
        <w:rPr>
          <w:rFonts w:hint="eastAsia" w:ascii="仿宋" w:hAnsi="仿宋" w:eastAsia="仿宋" w:cs="仿宋"/>
          <w:sz w:val="32"/>
          <w:szCs w:val="32"/>
          <w:lang w:eastAsia="zh-CN"/>
        </w:rPr>
        <w:t>区</w:t>
      </w: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改革、自然资源、住建等主管部门，在建设项目审批、土地出让、规划、建设和竣工验收等程序时，应严格审查住宅小区配套规划建设幼儿园情况，发现问题，应及时纠正和处理。</w:t>
      </w:r>
    </w:p>
    <w:p>
      <w:pPr>
        <w:keepNext w:val="0"/>
        <w:keepLines w:val="0"/>
        <w:pageBreakBefore w:val="0"/>
        <w:kinsoku/>
        <w:overflowPunct/>
        <w:topLinePunct w:val="0"/>
        <w:autoSpaceDE/>
        <w:autoSpaceDN/>
        <w:bidi w:val="0"/>
        <w:adjustRightInd/>
        <w:snapToGrid/>
        <w:spacing w:line="578"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（三）各镇人民政府</w:t>
      </w:r>
      <w:r>
        <w:rPr>
          <w:rFonts w:hint="eastAsia" w:ascii="仿宋" w:hAnsi="仿宋" w:eastAsia="仿宋" w:cs="仿宋"/>
          <w:sz w:val="32"/>
          <w:szCs w:val="32"/>
          <w:lang w:eastAsia="zh-CN"/>
        </w:rPr>
        <w:t>、街道办事处</w:t>
      </w:r>
      <w:r>
        <w:rPr>
          <w:rFonts w:hint="eastAsia" w:ascii="仿宋" w:hAnsi="仿宋" w:eastAsia="仿宋" w:cs="仿宋"/>
          <w:sz w:val="32"/>
          <w:szCs w:val="32"/>
        </w:rPr>
        <w:t>要加强住宅小区配套幼儿园建设和管理的统筹协调和督促检查，教育、发展</w:t>
      </w:r>
      <w:r>
        <w:rPr>
          <w:rFonts w:hint="eastAsia" w:ascii="仿宋" w:hAnsi="仿宋" w:eastAsia="仿宋" w:cs="仿宋"/>
          <w:sz w:val="32"/>
          <w:szCs w:val="32"/>
          <w:lang w:eastAsia="zh-CN"/>
        </w:rPr>
        <w:t>和</w:t>
      </w:r>
      <w:r>
        <w:rPr>
          <w:rFonts w:hint="eastAsia" w:ascii="仿宋" w:hAnsi="仿宋" w:eastAsia="仿宋" w:cs="仿宋"/>
          <w:sz w:val="32"/>
          <w:szCs w:val="32"/>
        </w:rPr>
        <w:t>改革、自然资源、住建等主管部门要跟进指导各镇</w:t>
      </w:r>
      <w:r>
        <w:rPr>
          <w:rFonts w:hint="eastAsia" w:ascii="仿宋" w:hAnsi="仿宋" w:eastAsia="仿宋" w:cs="仿宋"/>
          <w:sz w:val="32"/>
          <w:szCs w:val="32"/>
          <w:lang w:val="en-US" w:eastAsia="zh-CN"/>
        </w:rPr>
        <w:t>(街道)</w:t>
      </w:r>
      <w:r>
        <w:rPr>
          <w:rFonts w:hint="eastAsia" w:ascii="仿宋" w:hAnsi="仿宋" w:eastAsia="仿宋" w:cs="仿宋"/>
          <w:sz w:val="32"/>
          <w:szCs w:val="32"/>
        </w:rPr>
        <w:t>做好住宅小区配套幼儿园建设和管理各项工作。</w:t>
      </w:r>
    </w:p>
    <w:p>
      <w:pPr>
        <w:bidi w:val="0"/>
        <w:ind w:firstLine="640"/>
        <w:jc w:val="left"/>
        <w:rPr>
          <w:rFonts w:hint="eastAsia" w:ascii="仿宋" w:hAnsi="仿宋" w:eastAsia="仿宋" w:cs="仿宋"/>
          <w:sz w:val="32"/>
          <w:szCs w:val="32"/>
        </w:rPr>
      </w:pPr>
    </w:p>
    <w:p>
      <w:pPr>
        <w:bidi w:val="0"/>
        <w:ind w:firstLine="640"/>
        <w:jc w:val="left"/>
        <w:rPr>
          <w:rFonts w:hint="eastAsia" w:ascii="仿宋" w:hAnsi="仿宋" w:eastAsia="仿宋" w:cs="仿宋"/>
          <w:sz w:val="32"/>
          <w:szCs w:val="32"/>
        </w:rPr>
      </w:pPr>
    </w:p>
    <w:p>
      <w:pPr>
        <w:bidi w:val="0"/>
        <w:ind w:firstLine="640"/>
        <w:jc w:val="left"/>
        <w:rPr>
          <w:rFonts w:hint="eastAsia" w:ascii="仿宋" w:hAnsi="仿宋" w:eastAsia="仿宋" w:cs="仿宋"/>
          <w:sz w:val="32"/>
          <w:szCs w:val="32"/>
        </w:rPr>
      </w:pPr>
    </w:p>
    <w:p>
      <w:pPr>
        <w:bidi w:val="0"/>
        <w:ind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mZkODU5MGM4NDI2MzhkNTBmZjNjY2IxYWRkM2QifQ=="/>
  </w:docVars>
  <w:rsids>
    <w:rsidRoot w:val="652357A9"/>
    <w:rsid w:val="0D6563D0"/>
    <w:rsid w:val="0D9740D0"/>
    <w:rsid w:val="0E4154EF"/>
    <w:rsid w:val="12A72E54"/>
    <w:rsid w:val="259D3570"/>
    <w:rsid w:val="28F6529C"/>
    <w:rsid w:val="2A13424E"/>
    <w:rsid w:val="2B05199B"/>
    <w:rsid w:val="2B597F39"/>
    <w:rsid w:val="30A80026"/>
    <w:rsid w:val="3A920D71"/>
    <w:rsid w:val="3ED300D9"/>
    <w:rsid w:val="40CF1A8A"/>
    <w:rsid w:val="446445FC"/>
    <w:rsid w:val="4492147B"/>
    <w:rsid w:val="47E30E5E"/>
    <w:rsid w:val="4B624D1E"/>
    <w:rsid w:val="4C743C6B"/>
    <w:rsid w:val="4D4F1F44"/>
    <w:rsid w:val="64DF3121"/>
    <w:rsid w:val="652357A9"/>
    <w:rsid w:val="70FF0B45"/>
    <w:rsid w:val="718E4CF3"/>
    <w:rsid w:val="76123F36"/>
    <w:rsid w:val="7CC7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2447</Words>
  <Characters>2544</Characters>
  <Lines>0</Lines>
  <Paragraphs>0</Paragraphs>
  <TotalTime>24</TotalTime>
  <ScaleCrop>false</ScaleCrop>
  <LinksUpToDate>false</LinksUpToDate>
  <CharactersWithSpaces>2643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2022-08-08T03:30:00Z</dcterms:created>
  <dc:creator>Administrator</dc:creator>
  <cp:lastModifiedBy>酒巷清风</cp:lastModifiedBy>
  <cp:lastPrinted>2022-09-09T08:05:00Z</cp:lastPrinted>
  <dcterms:modified xsi:type="dcterms:W3CDTF">2022-09-13T01:05:08Z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9E41B343BBCC4DFCACAD06C72C2F9E28</vt:lpwstr>
  </property>
</Properties>
</file>