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8190"/>
        </w:tabs>
        <w:kinsoku/>
        <w:overflowPunct/>
        <w:topLinePunct w:val="0"/>
        <w:autoSpaceDE/>
        <w:autoSpaceDN/>
        <w:bidi w:val="0"/>
        <w:spacing w:line="570" w:lineRule="exact"/>
        <w:jc w:val="center"/>
        <w:rPr>
          <w:rFonts w:hint="eastAsia" w:ascii="方正小标宋简体" w:hAnsi="方正小标宋简体" w:eastAsia="方正小标宋简体" w:cs="方正小标宋简体"/>
          <w:color w:val="auto"/>
          <w:sz w:val="42"/>
          <w:szCs w:val="42"/>
          <w:highlight w:val="none"/>
        </w:rPr>
      </w:pPr>
      <w:bookmarkStart w:id="0" w:name="_GoBack"/>
      <w:bookmarkEnd w:id="0"/>
    </w:p>
    <w:p>
      <w:pPr>
        <w:pageBreakBefore w:val="0"/>
        <w:tabs>
          <w:tab w:val="left" w:pos="8190"/>
        </w:tabs>
        <w:kinsoku/>
        <w:overflowPunct/>
        <w:topLinePunct w:val="0"/>
        <w:autoSpaceDE/>
        <w:autoSpaceDN/>
        <w:bidi w:val="0"/>
        <w:spacing w:line="570" w:lineRule="exact"/>
        <w:jc w:val="center"/>
        <w:rPr>
          <w:rFonts w:hint="eastAsia" w:ascii="方正小标宋简体" w:hAnsi="方正小标宋简体" w:eastAsia="方正小标宋简体" w:cs="方正小标宋简体"/>
          <w:color w:val="auto"/>
          <w:sz w:val="42"/>
          <w:szCs w:val="42"/>
          <w:highlight w:val="none"/>
        </w:rPr>
      </w:pPr>
      <w:r>
        <w:rPr>
          <w:rFonts w:hint="eastAsia" w:ascii="方正小标宋简体" w:hAnsi="方正小标宋简体" w:eastAsia="方正小标宋简体" w:cs="方正小标宋简体"/>
          <w:color w:val="auto"/>
          <w:sz w:val="42"/>
          <w:szCs w:val="42"/>
          <w:highlight w:val="none"/>
        </w:rPr>
        <w:t>汕尾市</w:t>
      </w:r>
      <w:r>
        <w:rPr>
          <w:rFonts w:hint="eastAsia" w:ascii="方正小标宋简体" w:hAnsi="方正小标宋简体" w:eastAsia="方正小标宋简体" w:cs="方正小标宋简体"/>
          <w:color w:val="auto"/>
          <w:sz w:val="42"/>
          <w:szCs w:val="42"/>
          <w:highlight w:val="none"/>
          <w:lang w:eastAsia="zh-CN"/>
        </w:rPr>
        <w:t>城区</w:t>
      </w:r>
      <w:r>
        <w:rPr>
          <w:rFonts w:hint="eastAsia" w:ascii="方正小标宋简体" w:hAnsi="方正小标宋简体" w:eastAsia="方正小标宋简体" w:cs="方正小标宋简体"/>
          <w:color w:val="auto"/>
          <w:sz w:val="42"/>
          <w:szCs w:val="42"/>
          <w:highlight w:val="none"/>
        </w:rPr>
        <w:t>全面接轨深圳</w:t>
      </w:r>
      <w:r>
        <w:rPr>
          <w:rFonts w:hint="eastAsia" w:ascii="方正小标宋简体" w:hAnsi="方正小标宋简体" w:eastAsia="方正小标宋简体" w:cs="方正小标宋简体"/>
          <w:color w:val="auto"/>
          <w:sz w:val="42"/>
          <w:szCs w:val="42"/>
          <w:highlight w:val="none"/>
          <w:lang w:val="en-US" w:eastAsia="zh-CN"/>
        </w:rPr>
        <w:t xml:space="preserve"> </w:t>
      </w:r>
      <w:r>
        <w:rPr>
          <w:rFonts w:hint="eastAsia" w:ascii="方正小标宋简体" w:hAnsi="方正小标宋简体" w:eastAsia="方正小标宋简体" w:cs="方正小标宋简体"/>
          <w:color w:val="auto"/>
          <w:sz w:val="42"/>
          <w:szCs w:val="42"/>
          <w:highlight w:val="none"/>
        </w:rPr>
        <w:t>全力融入“双区”</w:t>
      </w:r>
    </w:p>
    <w:p>
      <w:pPr>
        <w:pageBreakBefore w:val="0"/>
        <w:kinsoku/>
        <w:overflowPunct/>
        <w:topLinePunct w:val="0"/>
        <w:autoSpaceDE/>
        <w:autoSpaceDN/>
        <w:bidi w:val="0"/>
        <w:spacing w:line="570" w:lineRule="exact"/>
        <w:jc w:val="center"/>
        <w:rPr>
          <w:rFonts w:hint="eastAsia" w:ascii="方正小标宋简体" w:hAnsi="方正小标宋简体" w:eastAsia="方正小标宋简体" w:cs="方正小标宋简体"/>
          <w:color w:val="auto"/>
          <w:sz w:val="42"/>
          <w:szCs w:val="42"/>
          <w:highlight w:val="none"/>
          <w:lang w:val="en-US" w:eastAsia="zh-CN"/>
        </w:rPr>
      </w:pPr>
      <w:r>
        <w:rPr>
          <w:rFonts w:hint="eastAsia" w:ascii="方正小标宋简体" w:hAnsi="方正小标宋简体" w:eastAsia="方正小标宋简体" w:cs="方正小标宋简体"/>
          <w:color w:val="auto"/>
          <w:sz w:val="42"/>
          <w:szCs w:val="42"/>
          <w:highlight w:val="none"/>
          <w:lang w:val="en-US" w:eastAsia="zh-CN"/>
        </w:rPr>
        <w:t>2022年工作要点</w:t>
      </w:r>
    </w:p>
    <w:p>
      <w:pPr>
        <w:pageBreakBefore w:val="0"/>
        <w:kinsoku/>
        <w:overflowPunct/>
        <w:topLinePunct w:val="0"/>
        <w:autoSpaceDE/>
        <w:autoSpaceDN/>
        <w:bidi w:val="0"/>
        <w:spacing w:line="570" w:lineRule="exact"/>
        <w:jc w:val="center"/>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（征求意见稿）</w:t>
      </w:r>
    </w:p>
    <w:p>
      <w:pPr>
        <w:pageBreakBefore w:val="0"/>
        <w:kinsoku/>
        <w:overflowPunct/>
        <w:topLinePunct w:val="0"/>
        <w:autoSpaceDE/>
        <w:autoSpaceDN/>
        <w:bidi w:val="0"/>
        <w:spacing w:line="570" w:lineRule="exact"/>
        <w:ind w:firstLine="640" w:firstLineChars="200"/>
        <w:rPr>
          <w:rFonts w:hint="eastAsia" w:ascii="仿宋_GB2312" w:hAnsi="宋体" w:eastAsia="仿宋_GB2312" w:cs="宋体"/>
          <w:color w:val="auto"/>
          <w:sz w:val="32"/>
          <w:szCs w:val="32"/>
          <w:highlight w:val="none"/>
          <w:lang w:eastAsia="zh-CN"/>
        </w:rPr>
      </w:pPr>
    </w:p>
    <w:p>
      <w:pPr>
        <w:pageBreakBefore w:val="0"/>
        <w:kinsoku/>
        <w:overflowPunct/>
        <w:topLinePunct w:val="0"/>
        <w:autoSpaceDE/>
        <w:autoSpaceDN/>
        <w:bidi w:val="0"/>
        <w:spacing w:line="570" w:lineRule="exact"/>
        <w:ind w:firstLine="640" w:firstLineChars="200"/>
        <w:rPr>
          <w:rFonts w:hint="eastAsia" w:ascii="仿宋_GB2312" w:hAnsi="宋体" w:eastAsia="仿宋_GB2312" w:cs="宋体"/>
          <w:color w:val="auto"/>
          <w:sz w:val="32"/>
          <w:szCs w:val="32"/>
          <w:highlight w:val="none"/>
          <w:lang w:val="en-US" w:eastAsia="zh-CN"/>
        </w:rPr>
      </w:pPr>
      <w:r>
        <w:rPr>
          <w:rFonts w:hint="eastAsia" w:ascii="仿宋_GB2312" w:hAnsi="宋体" w:eastAsia="仿宋_GB2312" w:cs="宋体"/>
          <w:color w:val="auto"/>
          <w:sz w:val="32"/>
          <w:szCs w:val="32"/>
          <w:highlight w:val="none"/>
          <w:lang w:val="en-US" w:eastAsia="zh-CN"/>
        </w:rPr>
        <w:t>为贯彻落实《关于贯彻落实&lt;中共汕尾市委 汕尾市人民政府关于全面接轨深圳全力融入“双区”的意见&gt;的实施方案》及《汕尾市全面接轨深圳 全力融入“双区”2022年工作要点》文件精神，推动我区全面接轨深圳、全力融入“双区”，积极参与“两个合作区”建设，进一步明确年度工作重点，现提出2022年工作要点。</w:t>
      </w:r>
    </w:p>
    <w:p>
      <w:pPr>
        <w:pageBreakBefore w:val="0"/>
        <w:numPr>
          <w:ilvl w:val="0"/>
          <w:numId w:val="1"/>
        </w:numPr>
        <w:kinsoku/>
        <w:overflowPunct/>
        <w:topLinePunct w:val="0"/>
        <w:autoSpaceDE/>
        <w:autoSpaceDN/>
        <w:bidi w:val="0"/>
        <w:spacing w:line="570" w:lineRule="exact"/>
        <w:ind w:firstLine="640" w:firstLineChars="20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加强规划共绘，擘画发展新蓝图</w:t>
      </w:r>
    </w:p>
    <w:p>
      <w:pPr>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1.积极参与深圳都市圈规划建设。</w:t>
      </w:r>
      <w:r>
        <w:rPr>
          <w:rFonts w:hint="eastAsia" w:ascii="仿宋_GB2312" w:hAnsi="??_GB2312" w:eastAsia="仿宋_GB2312" w:cs="??_GB2312"/>
          <w:b w:val="0"/>
          <w:bCs/>
          <w:color w:val="auto"/>
          <w:sz w:val="32"/>
          <w:szCs w:val="32"/>
          <w:highlight w:val="none"/>
          <w:lang w:val="en-US" w:eastAsia="zh-CN"/>
        </w:rPr>
        <w:t>全面对接深圳“东进”战略，</w:t>
      </w:r>
      <w:r>
        <w:rPr>
          <w:rFonts w:hint="eastAsia" w:ascii="仿宋_GB2312" w:hAnsi="宋体" w:eastAsia="仿宋_GB2312" w:cs="宋体"/>
          <w:color w:val="auto"/>
          <w:sz w:val="32"/>
          <w:szCs w:val="32"/>
          <w:highlight w:val="none"/>
        </w:rPr>
        <w:t>加强与</w:t>
      </w:r>
      <w:r>
        <w:rPr>
          <w:rFonts w:hint="eastAsia" w:ascii="仿宋_GB2312" w:hAnsi="宋体" w:eastAsia="仿宋_GB2312" w:cs="宋体"/>
          <w:color w:val="auto"/>
          <w:sz w:val="32"/>
          <w:szCs w:val="32"/>
          <w:highlight w:val="none"/>
          <w:lang w:eastAsia="zh-CN"/>
        </w:rPr>
        <w:t>深圳</w:t>
      </w:r>
      <w:r>
        <w:rPr>
          <w:rFonts w:hint="eastAsia" w:ascii="仿宋_GB2312" w:hAnsi="宋体" w:eastAsia="仿宋_GB2312" w:cs="宋体"/>
          <w:color w:val="auto"/>
          <w:sz w:val="32"/>
          <w:szCs w:val="32"/>
          <w:highlight w:val="none"/>
        </w:rPr>
        <w:t>都市圈规划衔接，</w:t>
      </w:r>
      <w:r>
        <w:rPr>
          <w:rFonts w:hint="eastAsia" w:ascii="仿宋_GB2312" w:hAnsi="宋体" w:eastAsia="仿宋_GB2312" w:cs="宋体"/>
          <w:color w:val="auto"/>
          <w:sz w:val="32"/>
          <w:szCs w:val="32"/>
          <w:highlight w:val="none"/>
          <w:lang w:eastAsia="zh-CN"/>
        </w:rPr>
        <w:t>提高城区与深圳都市圈城市同城化发展水平。按照《革命老区重点城市对口合作工作方案》确立的结对关系，配合市深化与深圳合作发展层次和水平，促进两市优势互补，互惠互利，共谋发展。加强与深圳各类规划的衔接，高标准编制产业发展、科技创新、综合交通运输、基础设施建设、生态环境保护等专项规划，共同谋划一批重大平台、重</w:t>
      </w:r>
      <w:r>
        <w:rPr>
          <w:rFonts w:hint="eastAsia" w:ascii="仿宋_GB2312" w:hAnsi="宋体" w:eastAsia="仿宋_GB2312" w:cs="宋体"/>
          <w:color w:val="auto"/>
          <w:sz w:val="32"/>
          <w:szCs w:val="32"/>
          <w:highlight w:val="none"/>
        </w:rPr>
        <w:t>大项目、重大工程，不断</w:t>
      </w:r>
      <w:r>
        <w:rPr>
          <w:rFonts w:hint="eastAsia" w:ascii="仿宋_GB2312" w:hAnsi="宋体" w:eastAsia="仿宋_GB2312" w:cs="宋体"/>
          <w:color w:val="auto"/>
          <w:sz w:val="32"/>
          <w:szCs w:val="32"/>
          <w:highlight w:val="none"/>
          <w:lang w:eastAsia="zh-CN"/>
        </w:rPr>
        <w:t>提升区域合作发展</w:t>
      </w:r>
      <w:r>
        <w:rPr>
          <w:rFonts w:hint="eastAsia" w:ascii="仿宋_GB2312" w:hAnsi="宋体" w:eastAsia="仿宋_GB2312" w:cs="宋体"/>
          <w:color w:val="auto"/>
          <w:sz w:val="32"/>
          <w:szCs w:val="32"/>
          <w:highlight w:val="none"/>
        </w:rPr>
        <w:t>层次和水平。</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责任单位：区</w:t>
      </w:r>
      <w:r>
        <w:rPr>
          <w:rFonts w:hint="eastAsia" w:ascii="黑体" w:hAnsi="黑体" w:eastAsia="黑体" w:cs="黑体"/>
          <w:color w:val="auto"/>
          <w:sz w:val="32"/>
          <w:szCs w:val="32"/>
          <w:highlight w:val="none"/>
        </w:rPr>
        <w:t>直相关部门、各</w:t>
      </w:r>
      <w:r>
        <w:rPr>
          <w:rFonts w:hint="eastAsia" w:ascii="黑体" w:hAnsi="黑体" w:eastAsia="黑体" w:cs="黑体"/>
          <w:color w:val="auto"/>
          <w:sz w:val="32"/>
          <w:szCs w:val="32"/>
          <w:highlight w:val="none"/>
          <w:lang w:eastAsia="zh-CN"/>
        </w:rPr>
        <w:t>镇</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街道</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按职能分工负责，下同</w:t>
      </w:r>
      <w:r>
        <w:rPr>
          <w:rFonts w:hint="eastAsia" w:ascii="黑体" w:hAnsi="黑体" w:eastAsia="黑体" w:cs="黑体"/>
          <w:color w:val="auto"/>
          <w:sz w:val="32"/>
          <w:szCs w:val="32"/>
          <w:highlight w:val="none"/>
        </w:rPr>
        <w:t>〕</w:t>
      </w:r>
    </w:p>
    <w:p>
      <w:pPr>
        <w:pStyle w:val="1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2.加强与深圳对接和战略合作。</w:t>
      </w:r>
      <w:r>
        <w:rPr>
          <w:rFonts w:hint="eastAsia" w:ascii="仿宋_GB2312" w:hAnsi="??_GB2312" w:eastAsia="仿宋_GB2312" w:cs="??_GB2312"/>
          <w:b w:val="0"/>
          <w:bCs/>
          <w:color w:val="auto"/>
          <w:sz w:val="32"/>
          <w:szCs w:val="32"/>
          <w:highlight w:val="none"/>
          <w:lang w:val="en-US" w:eastAsia="zh-CN"/>
        </w:rPr>
        <w:t>加强我区与深圳光明新区的全面战略合作，建立和完善深汕一体化融合发展的合作机制，健全双方沟通会议机制，配合市每年定期召开市级联席会议，研究讨论规划编制、政策制定、资金投入、项目建设和改革创新试点等重大问题。</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责任单位：区发展改革局、区农业农村和水利局、区财政局、各镇（街道）</w:t>
      </w:r>
      <w:r>
        <w:rPr>
          <w:rFonts w:hint="eastAsia" w:ascii="黑体" w:hAnsi="黑体" w:eastAsia="黑体" w:cs="黑体"/>
          <w:color w:val="auto"/>
          <w:sz w:val="32"/>
          <w:szCs w:val="32"/>
          <w:highlight w:val="none"/>
        </w:rPr>
        <w:t>〕</w:t>
      </w:r>
    </w:p>
    <w:p>
      <w:pPr>
        <w:pStyle w:val="10"/>
        <w:rPr>
          <w:rFonts w:hint="default" w:ascii="仿宋_GB2312" w:hAnsi="??_GB2312" w:eastAsia="仿宋_GB2312" w:cs="??_GB2312"/>
          <w:b w:val="0"/>
          <w:bCs/>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3.主动对接支持服务“两个合作区”建设。</w:t>
      </w:r>
      <w:r>
        <w:rPr>
          <w:rFonts w:hint="default" w:ascii="仿宋_GB2312" w:hAnsi="??_GB2312" w:eastAsia="仿宋_GB2312" w:cs="??_GB2312"/>
          <w:b w:val="0"/>
          <w:bCs/>
          <w:color w:val="auto"/>
          <w:kern w:val="2"/>
          <w:sz w:val="32"/>
          <w:szCs w:val="32"/>
          <w:highlight w:val="none"/>
          <w:lang w:val="en-US" w:eastAsia="zh-CN" w:bidi="ar-SA"/>
        </w:rPr>
        <w:t>抓牢抓紧</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两个合作区</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建设重大机遇，在深入实施</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东承西接</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战略中学习借鉴</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两个合作区</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的改革理念和经验做法，以</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四个联动传导</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积极参与</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两个合作区</w:t>
      </w:r>
      <w:r>
        <w:rPr>
          <w:rFonts w:hint="eastAsia" w:ascii="仿宋_GB2312" w:hAnsi="??_GB2312" w:eastAsia="仿宋_GB2312" w:cs="??_GB2312"/>
          <w:b w:val="0"/>
          <w:bCs/>
          <w:color w:val="auto"/>
          <w:kern w:val="2"/>
          <w:sz w:val="32"/>
          <w:szCs w:val="32"/>
          <w:highlight w:val="none"/>
          <w:lang w:val="en-US" w:eastAsia="zh-CN" w:bidi="ar-SA"/>
        </w:rPr>
        <w:t>”</w:t>
      </w:r>
      <w:r>
        <w:rPr>
          <w:rFonts w:hint="default" w:ascii="仿宋_GB2312" w:hAnsi="??_GB2312" w:eastAsia="仿宋_GB2312" w:cs="??_GB2312"/>
          <w:b w:val="0"/>
          <w:bCs/>
          <w:color w:val="auto"/>
          <w:kern w:val="2"/>
          <w:sz w:val="32"/>
          <w:szCs w:val="32"/>
          <w:highlight w:val="none"/>
          <w:lang w:val="en-US" w:eastAsia="zh-CN" w:bidi="ar-SA"/>
        </w:rPr>
        <w:t>建设，进一步明确对接的具体平台、项目、载体和工作抓手，在全力支持服务中主动接受辐射导。</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责任单位：区直相关单位、各镇（街道）</w:t>
      </w:r>
      <w:r>
        <w:rPr>
          <w:rFonts w:hint="eastAsia" w:ascii="黑体" w:hAnsi="黑体" w:eastAsia="黑体" w:cs="黑体"/>
          <w:color w:val="auto"/>
          <w:sz w:val="32"/>
          <w:szCs w:val="32"/>
          <w:highlight w:val="none"/>
        </w:rPr>
        <w:t>〕</w:t>
      </w:r>
    </w:p>
    <w:p>
      <w:pPr>
        <w:pStyle w:val="1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二、推进设施共建，构筑基础设施互联互通网络</w:t>
      </w:r>
    </w:p>
    <w:p>
      <w:pPr>
        <w:pStyle w:val="10"/>
        <w:rPr>
          <w:rFonts w:hint="eastAsia" w:ascii="黑体" w:hAnsi="黑体" w:eastAsia="黑体" w:cs="黑体"/>
          <w:b w:val="0"/>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4.加快轨道交通互联互通。</w:t>
      </w:r>
      <w:r>
        <w:rPr>
          <w:rFonts w:hint="eastAsia" w:ascii="仿宋_GB2312" w:hAnsi="??_GB2312" w:eastAsia="仿宋_GB2312" w:cs="??_GB2312"/>
          <w:b w:val="0"/>
          <w:bCs/>
          <w:color w:val="auto"/>
          <w:sz w:val="32"/>
          <w:szCs w:val="32"/>
          <w:highlight w:val="none"/>
          <w:lang w:val="en-US" w:eastAsia="zh-CN"/>
        </w:rPr>
        <w:t>全力以赴打好区综合交通大会战，配合市加速形成与大湾区核心城市“半小时、一小时”交通圈，加快推进广汕铁路、汕汕铁路等战略性基础设施建设，配合市加快龙汕铁路的前期工作，提升轨道联通水平，增强城区对外联通度。</w:t>
      </w:r>
      <w:r>
        <w:rPr>
          <w:rFonts w:hint="eastAsia" w:ascii="黑体" w:hAnsi="黑体" w:eastAsia="黑体" w:cs="黑体"/>
          <w:b w:val="0"/>
          <w:bCs w:val="0"/>
          <w:color w:val="auto"/>
          <w:kern w:val="2"/>
          <w:sz w:val="32"/>
          <w:szCs w:val="32"/>
          <w:highlight w:val="none"/>
          <w:lang w:val="en-US" w:eastAsia="zh-CN" w:bidi="ar-SA"/>
        </w:rPr>
        <w:t>〔责任单位：区住房城乡建设局、区发展改革局〕</w:t>
      </w:r>
    </w:p>
    <w:p>
      <w:pPr>
        <w:pStyle w:val="10"/>
        <w:rPr>
          <w:rFonts w:hint="eastAsia" w:ascii="黑体" w:hAnsi="黑体" w:eastAsia="黑体" w:cs="黑体"/>
          <w:b w:val="0"/>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5.完善对外高快速通道体系。</w:t>
      </w:r>
      <w:r>
        <w:rPr>
          <w:rFonts w:hint="eastAsia" w:ascii="仿宋_GB2312" w:hAnsi="??_GB2312" w:eastAsia="仿宋_GB2312" w:cs="??_GB2312"/>
          <w:b w:val="0"/>
          <w:bCs/>
          <w:sz w:val="32"/>
          <w:szCs w:val="32"/>
          <w:lang w:val="en-US" w:eastAsia="zh-CN"/>
        </w:rPr>
        <w:t>配合市交通部门</w:t>
      </w:r>
      <w:r>
        <w:rPr>
          <w:rFonts w:hint="eastAsia" w:ascii="仿宋_GB2312" w:hAnsi="宋体" w:eastAsia="仿宋_GB2312" w:cs="宋体"/>
          <w:b w:val="0"/>
          <w:bCs w:val="0"/>
          <w:color w:val="auto"/>
          <w:sz w:val="32"/>
          <w:szCs w:val="32"/>
          <w:highlight w:val="none"/>
          <w:lang w:val="en-US" w:eastAsia="zh-CN"/>
        </w:rPr>
        <w:t>加快推进深汕西高速改扩建工程</w:t>
      </w:r>
      <w:r>
        <w:rPr>
          <w:rFonts w:hint="eastAsia" w:ascii="仿宋_GB2312" w:hAnsi="宋体" w:eastAsia="仿宋_GB2312" w:cs="宋体"/>
          <w:b w:val="0"/>
          <w:bCs w:val="0"/>
          <w:strike w:val="0"/>
          <w:dstrike w:val="0"/>
          <w:color w:val="auto"/>
          <w:sz w:val="32"/>
          <w:szCs w:val="32"/>
          <w:highlight w:val="none"/>
          <w:lang w:val="en-US" w:eastAsia="zh-CN"/>
        </w:rPr>
        <w:t>前期工作</w:t>
      </w:r>
      <w:r>
        <w:rPr>
          <w:rFonts w:hint="eastAsia" w:ascii="仿宋_GB2312" w:hAnsi="仿宋_GB2312" w:eastAsia="仿宋_GB2312" w:cs="仿宋_GB2312"/>
          <w:b w:val="0"/>
          <w:bCs w:val="0"/>
          <w:strike w:val="0"/>
          <w:dstrike w:val="0"/>
          <w:color w:val="auto"/>
          <w:sz w:val="32"/>
          <w:szCs w:val="32"/>
          <w:highlight w:val="none"/>
          <w:lang w:val="en-US" w:eastAsia="zh-CN"/>
        </w:rPr>
        <w:t>的开展</w:t>
      </w:r>
      <w:r>
        <w:rPr>
          <w:rFonts w:hint="eastAsia" w:ascii="仿宋_GB2312" w:hAnsi="宋体" w:eastAsia="仿宋_GB2312" w:cs="宋体"/>
          <w:b w:val="0"/>
          <w:bCs w:val="0"/>
          <w:strike w:val="0"/>
          <w:dstrike w:val="0"/>
          <w:color w:val="auto"/>
          <w:sz w:val="32"/>
          <w:szCs w:val="32"/>
          <w:highlight w:val="none"/>
          <w:lang w:val="en-US" w:eastAsia="zh-CN"/>
        </w:rPr>
        <w:t>，</w:t>
      </w:r>
      <w:r>
        <w:rPr>
          <w:rFonts w:hint="eastAsia" w:ascii="仿宋_GB2312" w:hAnsi="宋体" w:eastAsia="仿宋_GB2312" w:cs="宋体"/>
          <w:b w:val="0"/>
          <w:bCs w:val="0"/>
          <w:color w:val="auto"/>
          <w:sz w:val="32"/>
          <w:szCs w:val="32"/>
          <w:highlight w:val="none"/>
          <w:lang w:val="en-US" w:eastAsia="zh-CN"/>
        </w:rPr>
        <w:t>实现快速交通网向东西联接。</w:t>
      </w:r>
      <w:r>
        <w:rPr>
          <w:rFonts w:hint="eastAsia" w:ascii="黑体" w:hAnsi="黑体" w:eastAsia="黑体" w:cs="黑体"/>
          <w:b w:val="0"/>
          <w:bCs w:val="0"/>
          <w:color w:val="auto"/>
          <w:kern w:val="2"/>
          <w:sz w:val="32"/>
          <w:szCs w:val="32"/>
          <w:highlight w:val="none"/>
          <w:lang w:val="en-US" w:eastAsia="zh-CN" w:bidi="ar-SA"/>
        </w:rPr>
        <w:t>〔责任单位：区住房城乡建设局、区发展改革局〕</w:t>
      </w:r>
    </w:p>
    <w:p>
      <w:pPr>
        <w:pageBreakBefore w:val="0"/>
        <w:kinsoku/>
        <w:overflowPunct/>
        <w:topLinePunct w:val="0"/>
        <w:autoSpaceDE/>
        <w:autoSpaceDN/>
        <w:bidi w:val="0"/>
        <w:adjustRightInd w:val="0"/>
        <w:snapToGrid w:val="0"/>
        <w:spacing w:line="570" w:lineRule="exact"/>
        <w:ind w:firstLine="643" w:firstLineChars="200"/>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6.加快推进信息基础设施建设。</w:t>
      </w:r>
      <w:r>
        <w:rPr>
          <w:rFonts w:hint="eastAsia" w:ascii="仿宋_GB2312" w:hAnsi="宋体" w:eastAsia="仿宋_GB2312" w:cs="宋体"/>
          <w:color w:val="auto"/>
          <w:sz w:val="32"/>
          <w:szCs w:val="32"/>
          <w:highlight w:val="none"/>
          <w:u w:val="none"/>
          <w:lang w:eastAsia="zh-CN"/>
        </w:rPr>
        <w:t>对标学习深圳智慧城市</w:t>
      </w:r>
      <w:r>
        <w:rPr>
          <w:rFonts w:ascii="仿宋_GB2312" w:hAnsi="??_GB2312" w:eastAsia="仿宋_GB2312" w:cs="??_GB2312"/>
          <w:bCs/>
          <w:color w:val="auto"/>
          <w:sz w:val="32"/>
          <w:szCs w:val="32"/>
          <w:highlight w:val="none"/>
        </w:rPr>
        <w:t>5G</w:t>
      </w:r>
      <w:r>
        <w:rPr>
          <w:rFonts w:hint="eastAsia" w:ascii="仿宋_GB2312" w:hAnsi="??_GB2312" w:eastAsia="仿宋_GB2312" w:cs="??_GB2312"/>
          <w:bCs/>
          <w:color w:val="auto"/>
          <w:sz w:val="32"/>
          <w:szCs w:val="32"/>
          <w:highlight w:val="none"/>
          <w:lang w:eastAsia="zh-CN"/>
        </w:rPr>
        <w:t>发展先进经验</w:t>
      </w:r>
      <w:r>
        <w:rPr>
          <w:rFonts w:hint="eastAsia" w:ascii="仿宋_GB2312" w:hAnsi="宋体" w:eastAsia="仿宋_GB2312" w:cs="宋体"/>
          <w:color w:val="auto"/>
          <w:sz w:val="32"/>
          <w:szCs w:val="32"/>
          <w:highlight w:val="none"/>
          <w:u w:val="none"/>
          <w:lang w:eastAsia="zh-CN"/>
        </w:rPr>
        <w:t>，抢抓数字经济发展机遇，加快新型数字基础设施建设，打造“双千兆”网络体系，建设5G基站</w:t>
      </w:r>
      <w:r>
        <w:rPr>
          <w:rFonts w:hint="eastAsia" w:ascii="仿宋_GB2312" w:hAnsi="宋体" w:eastAsia="仿宋_GB2312" w:cs="宋体"/>
          <w:color w:val="auto"/>
          <w:sz w:val="32"/>
          <w:szCs w:val="32"/>
          <w:highlight w:val="none"/>
          <w:u w:val="none"/>
          <w:lang w:val="en-US" w:eastAsia="zh-CN"/>
        </w:rPr>
        <w:t>353</w:t>
      </w:r>
      <w:r>
        <w:rPr>
          <w:rFonts w:hint="eastAsia" w:ascii="仿宋_GB2312" w:hAnsi="宋体" w:eastAsia="仿宋_GB2312" w:cs="宋体"/>
          <w:color w:val="auto"/>
          <w:sz w:val="32"/>
          <w:szCs w:val="32"/>
          <w:highlight w:val="none"/>
          <w:u w:val="none"/>
          <w:lang w:eastAsia="zh-CN"/>
        </w:rPr>
        <w:t>个，实现重点园区5G网络和千兆光纤全覆盖。完善大数据中心、工业互联网等新型基础设施建设，共建信息互联互通平台。</w:t>
      </w:r>
      <w:r>
        <w:rPr>
          <w:rFonts w:hint="eastAsia" w:ascii="黑体" w:hAnsi="黑体" w:eastAsia="黑体" w:cs="黑体"/>
          <w:color w:val="auto"/>
          <w:sz w:val="32"/>
          <w:szCs w:val="32"/>
          <w:highlight w:val="none"/>
          <w:lang w:eastAsia="zh-CN"/>
        </w:rPr>
        <w:t>〔责任单位：区科技工业和信息化局、</w:t>
      </w:r>
      <w:r>
        <w:rPr>
          <w:rFonts w:hint="eastAsia" w:ascii="黑体" w:hAnsi="黑体" w:eastAsia="黑体" w:cs="黑体"/>
          <w:b w:val="0"/>
          <w:bCs w:val="0"/>
          <w:color w:val="auto"/>
          <w:kern w:val="2"/>
          <w:sz w:val="32"/>
          <w:szCs w:val="32"/>
          <w:highlight w:val="none"/>
          <w:lang w:val="en-US" w:eastAsia="zh-CN" w:bidi="ar-SA"/>
        </w:rPr>
        <w:t>区住房城乡建设局</w:t>
      </w:r>
      <w:r>
        <w:rPr>
          <w:rFonts w:hint="eastAsia" w:ascii="黑体" w:hAnsi="黑体" w:eastAsia="黑体" w:cs="黑体"/>
          <w:color w:val="auto"/>
          <w:sz w:val="32"/>
          <w:szCs w:val="32"/>
          <w:highlight w:val="none"/>
          <w:lang w:eastAsia="zh-CN"/>
        </w:rPr>
        <w:t>、区政务服务数据管理局〕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70" w:lineRule="exact"/>
        <w:ind w:left="0" w:right="0" w:firstLine="643"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仿宋_GB2312" w:hAnsi="仿宋_GB2312" w:eastAsia="仿宋_GB2312" w:cs="仿宋_GB2312"/>
          <w:b/>
          <w:bCs w:val="0"/>
          <w:color w:val="auto"/>
          <w:kern w:val="2"/>
          <w:sz w:val="32"/>
          <w:szCs w:val="32"/>
          <w:highlight w:val="none"/>
          <w:lang w:val="en-US" w:eastAsia="zh-CN" w:bidi="ar-SA"/>
        </w:rPr>
        <w:t>7.完善水利基础设施建设。</w:t>
      </w:r>
      <w:r>
        <w:rPr>
          <w:rFonts w:hint="eastAsia" w:ascii="仿宋_GB2312" w:hAnsi="宋体" w:eastAsia="仿宋_GB2312" w:cs="宋体"/>
          <w:b w:val="0"/>
          <w:bCs w:val="0"/>
          <w:color w:val="auto"/>
          <w:kern w:val="2"/>
          <w:sz w:val="32"/>
          <w:szCs w:val="32"/>
          <w:highlight w:val="none"/>
          <w:lang w:val="en-US" w:eastAsia="zh-CN" w:bidi="ar-SA"/>
        </w:rPr>
        <w:t>对标学习大湾区治水管水的先进制度和理念，聚焦“四生”水利建设，加快推进城区饮水工程、城区引西灌区配套与节水改造工程、城区万里碧道建设工程、城区尖山水库扩容改造工程及5宗小型水库险险加固工程建设。</w:t>
      </w:r>
      <w:r>
        <w:rPr>
          <w:rFonts w:hint="eastAsia" w:ascii="黑体" w:hAnsi="黑体" w:eastAsia="黑体" w:cs="黑体"/>
          <w:b w:val="0"/>
          <w:bCs w:val="0"/>
          <w:color w:val="auto"/>
          <w:kern w:val="2"/>
          <w:sz w:val="32"/>
          <w:szCs w:val="32"/>
          <w:highlight w:val="none"/>
          <w:lang w:val="en-US" w:eastAsia="zh-CN" w:bidi="ar-SA"/>
        </w:rPr>
        <w:t>〔责任单位：区农业农村和水利局、各镇（街道）〕</w:t>
      </w:r>
    </w:p>
    <w:p>
      <w:pPr>
        <w:pStyle w:val="3"/>
        <w:pageBreakBefore w:val="0"/>
        <w:kinsoku/>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三、深化产业共兴，共建产业创新协同体系</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仿宋_GB2312" w:hAnsi="??_GB2312" w:eastAsia="仿宋_GB2312" w:cs="??_GB2312"/>
          <w:b/>
          <w:bCs w:val="0"/>
          <w:color w:val="auto"/>
          <w:sz w:val="32"/>
          <w:szCs w:val="32"/>
          <w:highlight w:val="none"/>
          <w:lang w:val="en-US" w:eastAsia="zh-CN"/>
        </w:rPr>
        <w:t>8.强化创新平台建设。</w:t>
      </w:r>
      <w:r>
        <w:rPr>
          <w:rFonts w:hint="eastAsia" w:ascii="仿宋_GB2312" w:hAnsi="??_GB2312" w:eastAsia="仿宋_GB2312" w:cs="??_GB2312"/>
          <w:b w:val="0"/>
          <w:bCs/>
          <w:color w:val="auto"/>
          <w:sz w:val="32"/>
          <w:szCs w:val="32"/>
          <w:highlight w:val="none"/>
          <w:lang w:val="en-US" w:eastAsia="zh-CN"/>
        </w:rPr>
        <w:t>配合</w:t>
      </w:r>
      <w:r>
        <w:rPr>
          <w:rFonts w:hint="eastAsia" w:ascii="仿宋_GB2312" w:hAnsi="宋体" w:eastAsia="仿宋_GB2312" w:cs="宋体"/>
          <w:b w:val="0"/>
          <w:bCs w:val="0"/>
          <w:color w:val="auto"/>
          <w:kern w:val="2"/>
          <w:sz w:val="32"/>
          <w:szCs w:val="32"/>
          <w:highlight w:val="none"/>
          <w:lang w:val="en-US" w:eastAsia="zh-CN" w:bidi="ar-SA"/>
        </w:rPr>
        <w:t>市力争汕尾高新区列入国家级高新区考察名单，助推汕尾高新区加快创建国家科技成果转移转化示范区。积极对接大湾区创新资源，引进产业高水平实验室或研究机构驻城区设立分支机构，推荐优质企业进驻汕尾创新岛（深圳）平台。</w:t>
      </w:r>
      <w:r>
        <w:rPr>
          <w:rFonts w:hint="eastAsia" w:ascii="黑体" w:hAnsi="黑体" w:eastAsia="黑体" w:cs="黑体"/>
          <w:color w:val="auto"/>
          <w:kern w:val="2"/>
          <w:sz w:val="32"/>
          <w:szCs w:val="32"/>
          <w:highlight w:val="none"/>
          <w:lang w:val="en-US" w:eastAsia="zh-CN" w:bidi="ar-SA"/>
        </w:rPr>
        <w:t>〔责任单位：</w:t>
      </w:r>
      <w:r>
        <w:rPr>
          <w:rFonts w:hint="eastAsia" w:ascii="黑体" w:hAnsi="黑体" w:eastAsia="黑体" w:cs="黑体"/>
          <w:color w:val="auto"/>
          <w:sz w:val="32"/>
          <w:szCs w:val="32"/>
          <w:highlight w:val="none"/>
          <w:lang w:eastAsia="zh-CN"/>
        </w:rPr>
        <w:t>区科技工业和信息化局</w:t>
      </w:r>
      <w:r>
        <w:rPr>
          <w:rFonts w:hint="eastAsia" w:ascii="黑体" w:hAnsi="黑体" w:eastAsia="黑体" w:cs="黑体"/>
          <w:strike w:val="0"/>
          <w:dstrike w:val="0"/>
          <w:color w:val="auto"/>
          <w:sz w:val="32"/>
          <w:szCs w:val="32"/>
          <w:highlight w:val="none"/>
          <w:lang w:eastAsia="zh-CN"/>
        </w:rPr>
        <w:t>、</w:t>
      </w:r>
      <w:r>
        <w:rPr>
          <w:rFonts w:hint="eastAsia" w:ascii="黑体" w:hAnsi="黑体" w:eastAsia="黑体" w:cs="黑体"/>
          <w:color w:val="auto"/>
          <w:sz w:val="32"/>
          <w:szCs w:val="32"/>
          <w:highlight w:val="none"/>
        </w:rPr>
        <w:t>各</w:t>
      </w:r>
      <w:r>
        <w:rPr>
          <w:rFonts w:hint="eastAsia" w:ascii="黑体" w:hAnsi="黑体" w:eastAsia="黑体" w:cs="黑体"/>
          <w:color w:val="auto"/>
          <w:sz w:val="32"/>
          <w:szCs w:val="32"/>
          <w:highlight w:val="none"/>
          <w:lang w:eastAsia="zh-CN"/>
        </w:rPr>
        <w:t>镇</w:t>
      </w:r>
      <w:r>
        <w:rPr>
          <w:rFonts w:hint="eastAsia" w:ascii="黑体" w:hAnsi="黑体" w:eastAsia="黑体" w:cs="黑体"/>
          <w:b w:val="0"/>
          <w:bCs w:val="0"/>
          <w:color w:val="auto"/>
          <w:kern w:val="2"/>
          <w:sz w:val="32"/>
          <w:szCs w:val="32"/>
          <w:highlight w:val="none"/>
          <w:lang w:val="en-US" w:eastAsia="zh-CN" w:bidi="ar-SA"/>
        </w:rPr>
        <w:t>（街道）</w:t>
      </w:r>
      <w:r>
        <w:rPr>
          <w:rFonts w:hint="eastAsia" w:ascii="黑体" w:hAnsi="黑体" w:eastAsia="黑体" w:cs="黑体"/>
          <w:color w:val="auto"/>
          <w:kern w:val="2"/>
          <w:sz w:val="32"/>
          <w:szCs w:val="32"/>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0" w:lineRule="exact"/>
        <w:ind w:left="0" w:right="0" w:firstLine="643" w:firstLineChars="200"/>
        <w:jc w:val="both"/>
        <w:rPr>
          <w:rFonts w:hint="eastAsia"/>
          <w:lang w:val="en-US" w:eastAsia="zh-CN"/>
        </w:rPr>
      </w:pPr>
      <w:r>
        <w:rPr>
          <w:rFonts w:hint="eastAsia" w:ascii="仿宋_GB2312" w:hAnsi="??_GB2312" w:eastAsia="仿宋_GB2312" w:cs="??_GB2312"/>
          <w:b/>
          <w:bCs w:val="0"/>
          <w:color w:val="auto"/>
          <w:kern w:val="2"/>
          <w:sz w:val="32"/>
          <w:szCs w:val="32"/>
          <w:highlight w:val="none"/>
          <w:lang w:val="en-US" w:eastAsia="zh-CN" w:bidi="ar-SA"/>
        </w:rPr>
        <w:t>9.推进孵化育成体系建设。</w:t>
      </w:r>
      <w:r>
        <w:rPr>
          <w:rFonts w:hint="eastAsia" w:ascii="仿宋_GB2312" w:hAnsi="宋体" w:eastAsia="仿宋_GB2312" w:cs="宋体"/>
          <w:b w:val="0"/>
          <w:bCs w:val="0"/>
          <w:color w:val="auto"/>
          <w:kern w:val="2"/>
          <w:sz w:val="32"/>
          <w:szCs w:val="32"/>
          <w:highlight w:val="none"/>
          <w:lang w:val="en-US" w:eastAsia="zh-CN" w:bidi="ar-SA"/>
        </w:rPr>
        <w:t>以城区现有孵化机构为依托，引进深圳创新创业运营团队和孵化项目，完善“众创空间—孵化器—加速器—产业园”孵</w:t>
      </w:r>
      <w:r>
        <w:rPr>
          <w:rFonts w:hint="eastAsia" w:ascii="仿宋_GB2312" w:hAnsi="宋体" w:eastAsia="仿宋_GB2312" w:cs="宋体"/>
          <w:color w:val="auto"/>
          <w:kern w:val="2"/>
          <w:sz w:val="32"/>
          <w:szCs w:val="32"/>
          <w:highlight w:val="none"/>
          <w:lang w:val="en-US" w:eastAsia="zh-CN" w:bidi="ar-SA"/>
        </w:rPr>
        <w:t>化链条，建成一批标准化厂房，打造一批众创空间、孵化器、加速器等孵化育成体系平台。</w:t>
      </w:r>
      <w:r>
        <w:rPr>
          <w:rFonts w:hint="eastAsia" w:ascii="黑体" w:hAnsi="黑体" w:eastAsia="黑体" w:cs="黑体"/>
          <w:color w:val="auto"/>
          <w:kern w:val="2"/>
          <w:sz w:val="32"/>
          <w:szCs w:val="32"/>
          <w:highlight w:val="none"/>
          <w:lang w:val="en-US" w:eastAsia="zh-CN" w:bidi="ar-SA"/>
        </w:rPr>
        <w:t>〔责任单位：</w:t>
      </w:r>
      <w:r>
        <w:rPr>
          <w:rFonts w:hint="eastAsia" w:ascii="黑体" w:hAnsi="黑体" w:eastAsia="黑体" w:cs="黑体"/>
          <w:color w:val="auto"/>
          <w:sz w:val="32"/>
          <w:szCs w:val="32"/>
          <w:highlight w:val="none"/>
          <w:lang w:eastAsia="zh-CN"/>
        </w:rPr>
        <w:t>区科技工业和信息化局、</w:t>
      </w:r>
      <w:r>
        <w:rPr>
          <w:rFonts w:hint="eastAsia" w:ascii="黑体" w:hAnsi="黑体" w:eastAsia="黑体" w:cs="黑体"/>
          <w:color w:val="auto"/>
          <w:sz w:val="32"/>
          <w:szCs w:val="32"/>
          <w:highlight w:val="none"/>
        </w:rPr>
        <w:t>各</w:t>
      </w:r>
      <w:r>
        <w:rPr>
          <w:rFonts w:hint="eastAsia" w:ascii="黑体" w:hAnsi="黑体" w:eastAsia="黑体" w:cs="黑体"/>
          <w:color w:val="auto"/>
          <w:sz w:val="32"/>
          <w:szCs w:val="32"/>
          <w:highlight w:val="none"/>
          <w:lang w:eastAsia="zh-CN"/>
        </w:rPr>
        <w:t>镇</w:t>
      </w:r>
      <w:r>
        <w:rPr>
          <w:rFonts w:hint="eastAsia" w:ascii="黑体" w:hAnsi="黑体" w:eastAsia="黑体" w:cs="黑体"/>
          <w:b w:val="0"/>
          <w:bCs w:val="0"/>
          <w:color w:val="auto"/>
          <w:kern w:val="2"/>
          <w:sz w:val="32"/>
          <w:szCs w:val="32"/>
          <w:highlight w:val="none"/>
          <w:lang w:val="en-US" w:eastAsia="zh-CN" w:bidi="ar-SA"/>
        </w:rPr>
        <w:t>（街道）</w:t>
      </w:r>
      <w:r>
        <w:rPr>
          <w:rFonts w:hint="eastAsia" w:ascii="黑体" w:hAnsi="黑体" w:eastAsia="黑体" w:cs="黑体"/>
          <w:color w:val="auto"/>
          <w:kern w:val="2"/>
          <w:sz w:val="32"/>
          <w:szCs w:val="32"/>
          <w:highlight w:val="none"/>
          <w:lang w:val="en-US" w:eastAsia="zh-CN" w:bidi="ar-SA"/>
        </w:rPr>
        <w:t>〕</w:t>
      </w:r>
    </w:p>
    <w:p>
      <w:pPr>
        <w:pageBreakBefore w:val="0"/>
        <w:kinsoku/>
        <w:overflowPunct/>
        <w:topLinePunct w:val="0"/>
        <w:autoSpaceDE/>
        <w:autoSpaceDN/>
        <w:bidi w:val="0"/>
        <w:spacing w:line="570" w:lineRule="exact"/>
        <w:ind w:firstLine="643" w:firstLineChars="200"/>
        <w:rPr>
          <w:rFonts w:hint="eastAsia" w:ascii="黑体" w:hAnsi="黑体" w:eastAsia="黑体" w:cs="黑体"/>
          <w:color w:val="auto"/>
          <w:sz w:val="32"/>
          <w:szCs w:val="32"/>
          <w:highlight w:val="none"/>
          <w:lang w:val="en-US" w:eastAsia="zh-CN"/>
        </w:rPr>
      </w:pPr>
      <w:r>
        <w:rPr>
          <w:rFonts w:hint="eastAsia" w:ascii="仿宋_GB2312" w:hAnsi="??_GB2312" w:eastAsia="仿宋_GB2312" w:cs="??_GB2312"/>
          <w:b/>
          <w:bCs w:val="0"/>
          <w:color w:val="auto"/>
          <w:sz w:val="32"/>
          <w:szCs w:val="32"/>
          <w:highlight w:val="none"/>
          <w:lang w:val="en-US" w:eastAsia="zh-CN"/>
        </w:rPr>
        <w:t>10.打造大湾区优质农产品供应地。</w:t>
      </w:r>
      <w:r>
        <w:rPr>
          <w:rFonts w:hint="eastAsia" w:ascii="仿宋_GB2312" w:hAnsi="宋体" w:eastAsia="仿宋_GB2312" w:cs="宋体"/>
          <w:color w:val="auto"/>
          <w:sz w:val="32"/>
          <w:szCs w:val="32"/>
          <w:highlight w:val="none"/>
          <w:lang w:val="en-US" w:eastAsia="zh-CN"/>
        </w:rPr>
        <w:t>面向大湾区消费市场，充分挖掘我区农业发展潜力，提高农业产业化、品牌化水平。以省级现代农业产业园全方位提质为引领，打造甘薯等超十亿级产业集群。结合乡村振兴战略，大力发展生态农业、休闲农业和品牌农业，打造具有地方特色的优质粮食、水果、蔬菜、畜禽、水产供应基地，努力打造成为深圳乃至大湾区的“米袋子”“菜篮子”“果盘子”。</w:t>
      </w:r>
      <w:r>
        <w:rPr>
          <w:rFonts w:hint="eastAsia" w:ascii="黑体" w:hAnsi="黑体" w:eastAsia="黑体" w:cs="黑体"/>
          <w:color w:val="auto"/>
          <w:sz w:val="32"/>
          <w:szCs w:val="32"/>
          <w:highlight w:val="none"/>
          <w:lang w:eastAsia="zh-CN"/>
        </w:rPr>
        <w:t>〔责任单位：区农业农村和水利局、区发展改革局〕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仿宋_GB2312" w:hAnsi="宋体" w:eastAsia="仿宋_GB2312" w:cs="宋体"/>
          <w:b/>
          <w:bCs/>
          <w:color w:val="auto"/>
          <w:sz w:val="32"/>
          <w:szCs w:val="32"/>
          <w:highlight w:val="none"/>
          <w:lang w:val="en-US" w:eastAsia="zh-CN"/>
        </w:rPr>
        <w:t>11.高层次推进产业协同发展。</w:t>
      </w:r>
      <w:r>
        <w:rPr>
          <w:rFonts w:hint="eastAsia" w:ascii="仿宋_GB2312" w:hAnsi="宋体" w:eastAsia="仿宋_GB2312" w:cs="宋体"/>
          <w:color w:val="auto"/>
          <w:sz w:val="32"/>
          <w:szCs w:val="32"/>
          <w:highlight w:val="none"/>
          <w:lang w:val="en-US" w:eastAsia="zh-CN"/>
        </w:rPr>
        <w:t>聚焦大抓项目、狠抓企业引进，深化区县产业共建，配合市加快建设深汕特别合作区拓展区，打造产业转移承接地。围绕建链、补链、延链、强链，深化“总部研发在深圳、转化落地在城区”等产业协同发展模式，打造产业链延伸区。依托汕尾高新区等载体，全力提升配套能力，打造产业集群配套基地。</w:t>
      </w:r>
      <w:r>
        <w:rPr>
          <w:rFonts w:hint="eastAsia" w:ascii="黑体" w:hAnsi="黑体" w:eastAsia="黑体" w:cs="黑体"/>
          <w:color w:val="auto"/>
          <w:sz w:val="32"/>
          <w:szCs w:val="32"/>
          <w:highlight w:val="none"/>
          <w:lang w:val="en" w:eastAsia="zh-CN"/>
        </w:rPr>
        <w:t>〔责任单位：区发展改革局、</w:t>
      </w:r>
      <w:r>
        <w:rPr>
          <w:rFonts w:hint="eastAsia" w:ascii="黑体" w:hAnsi="黑体" w:eastAsia="黑体" w:cs="黑体"/>
          <w:color w:val="auto"/>
          <w:sz w:val="32"/>
          <w:szCs w:val="32"/>
          <w:highlight w:val="none"/>
          <w:lang w:eastAsia="zh-CN"/>
        </w:rPr>
        <w:t>区科技工业和信息化局</w:t>
      </w:r>
      <w:r>
        <w:rPr>
          <w:rFonts w:hint="eastAsia" w:ascii="黑体" w:hAnsi="黑体" w:eastAsia="黑体" w:cs="黑体"/>
          <w:color w:val="auto"/>
          <w:sz w:val="32"/>
          <w:szCs w:val="32"/>
          <w:highlight w:val="none"/>
          <w:lang w:val="en" w:eastAsia="zh-CN"/>
        </w:rPr>
        <w:t>、区投资促进中心、</w:t>
      </w:r>
      <w:r>
        <w:rPr>
          <w:rFonts w:hint="eastAsia" w:ascii="黑体" w:hAnsi="黑体" w:eastAsia="黑体" w:cs="黑体"/>
          <w:color w:val="auto"/>
          <w:sz w:val="32"/>
          <w:szCs w:val="32"/>
          <w:highlight w:val="none"/>
        </w:rPr>
        <w:t>各</w:t>
      </w:r>
      <w:r>
        <w:rPr>
          <w:rFonts w:hint="eastAsia" w:ascii="黑体" w:hAnsi="黑体" w:eastAsia="黑体" w:cs="黑体"/>
          <w:color w:val="auto"/>
          <w:sz w:val="32"/>
          <w:szCs w:val="32"/>
          <w:highlight w:val="none"/>
          <w:lang w:eastAsia="zh-CN"/>
        </w:rPr>
        <w:t>镇</w:t>
      </w:r>
      <w:r>
        <w:rPr>
          <w:rFonts w:hint="eastAsia" w:ascii="黑体" w:hAnsi="黑体" w:eastAsia="黑体" w:cs="黑体"/>
          <w:b w:val="0"/>
          <w:bCs w:val="0"/>
          <w:color w:val="auto"/>
          <w:kern w:val="2"/>
          <w:sz w:val="32"/>
          <w:szCs w:val="32"/>
          <w:highlight w:val="none"/>
          <w:lang w:val="en-US" w:eastAsia="zh-CN" w:bidi="ar-SA"/>
        </w:rPr>
        <w:t>（街道）</w:t>
      </w:r>
      <w:r>
        <w:rPr>
          <w:rFonts w:hint="eastAsia" w:ascii="黑体" w:hAnsi="黑体" w:eastAsia="黑体" w:cs="黑体"/>
          <w:color w:val="auto"/>
          <w:sz w:val="32"/>
          <w:szCs w:val="32"/>
          <w:highlight w:val="none"/>
          <w:lang w:val="en"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0" w:lineRule="exact"/>
        <w:ind w:left="0" w:right="0" w:firstLine="643" w:firstLineChars="200"/>
        <w:jc w:val="both"/>
        <w:rPr>
          <w:rFonts w:hint="eastAsia" w:ascii="黑体" w:hAnsi="黑体" w:eastAsia="黑体" w:cs="黑体"/>
          <w:color w:val="auto"/>
          <w:kern w:val="2"/>
          <w:sz w:val="32"/>
          <w:szCs w:val="32"/>
          <w:highlight w:val="none"/>
          <w:lang w:val="en-US" w:eastAsia="zh-CN" w:bidi="ar-SA"/>
        </w:rPr>
      </w:pPr>
      <w:r>
        <w:rPr>
          <w:rFonts w:hint="eastAsia" w:ascii="仿宋_GB2312" w:hAnsi="??_GB2312" w:eastAsia="仿宋_GB2312" w:cs="??_GB2312"/>
          <w:b/>
          <w:bCs w:val="0"/>
          <w:color w:val="auto"/>
          <w:kern w:val="2"/>
          <w:sz w:val="32"/>
          <w:szCs w:val="32"/>
          <w:highlight w:val="none"/>
          <w:lang w:val="en-US" w:eastAsia="zh-CN" w:bidi="ar-SA"/>
        </w:rPr>
        <w:t>12.打造数字经济发展高地。</w:t>
      </w:r>
      <w:r>
        <w:rPr>
          <w:rFonts w:hint="eastAsia" w:ascii="仿宋_GB2312" w:hAnsi="宋体" w:eastAsia="仿宋_GB2312" w:cs="宋体"/>
          <w:color w:val="auto"/>
          <w:kern w:val="2"/>
          <w:sz w:val="32"/>
          <w:szCs w:val="32"/>
          <w:highlight w:val="none"/>
          <w:lang w:val="en-US" w:eastAsia="zh-CN" w:bidi="ar-SA"/>
        </w:rPr>
        <w:t>抢抓数字经济发展机遇，实施数字经济发展行动，围绕汕尾高新区打造“明珠数谷”绿色数据中心产业基地，大力招引集聚智能终端制造、IDC 专业服务企业，加快构建区域性大数据产业集聚地。深入实施工业互联网“企业倍增工程”，推动22家工业企业“上云用数赋智”，打造一批“5G+工业互联网”标杆企业。</w:t>
      </w:r>
      <w:r>
        <w:rPr>
          <w:rFonts w:hint="eastAsia" w:ascii="黑体" w:hAnsi="黑体" w:eastAsia="黑体" w:cs="黑体"/>
          <w:color w:val="auto"/>
          <w:kern w:val="2"/>
          <w:sz w:val="32"/>
          <w:szCs w:val="32"/>
          <w:highlight w:val="none"/>
          <w:lang w:val="en-US" w:eastAsia="zh-CN" w:bidi="ar-SA"/>
        </w:rPr>
        <w:t>〔责任单位：</w:t>
      </w:r>
      <w:r>
        <w:rPr>
          <w:rFonts w:hint="eastAsia" w:ascii="黑体" w:hAnsi="黑体" w:eastAsia="黑体" w:cs="黑体"/>
          <w:color w:val="auto"/>
          <w:sz w:val="32"/>
          <w:szCs w:val="32"/>
          <w:highlight w:val="none"/>
          <w:lang w:eastAsia="zh-CN"/>
        </w:rPr>
        <w:t>区</w:t>
      </w:r>
      <w:r>
        <w:rPr>
          <w:rFonts w:hint="eastAsia" w:ascii="黑体" w:hAnsi="黑体" w:eastAsia="黑体" w:cs="黑体"/>
          <w:color w:val="auto"/>
          <w:sz w:val="32"/>
          <w:szCs w:val="32"/>
          <w:highlight w:val="none"/>
        </w:rPr>
        <w:t>发展改革局</w:t>
      </w:r>
      <w:r>
        <w:rPr>
          <w:rFonts w:hint="eastAsia" w:ascii="黑体" w:hAnsi="黑体" w:eastAsia="黑体" w:cs="黑体"/>
          <w:color w:val="auto"/>
          <w:sz w:val="32"/>
          <w:szCs w:val="32"/>
          <w:highlight w:val="none"/>
          <w:lang w:eastAsia="zh-CN"/>
        </w:rPr>
        <w:t>、区科技工业和信息化局</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区</w:t>
      </w:r>
      <w:r>
        <w:rPr>
          <w:rFonts w:hint="eastAsia" w:ascii="黑体" w:hAnsi="黑体" w:eastAsia="黑体" w:cs="黑体"/>
          <w:color w:val="auto"/>
          <w:sz w:val="32"/>
          <w:szCs w:val="32"/>
          <w:highlight w:val="none"/>
        </w:rPr>
        <w:t>政务服务数据管理局</w:t>
      </w:r>
      <w:r>
        <w:rPr>
          <w:rFonts w:hint="eastAsia" w:ascii="黑体" w:hAnsi="黑体" w:eastAsia="黑体" w:cs="黑体"/>
          <w:color w:val="auto"/>
          <w:kern w:val="2"/>
          <w:sz w:val="32"/>
          <w:szCs w:val="32"/>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0" w:lineRule="exact"/>
        <w:ind w:left="0" w:right="0" w:firstLine="643" w:firstLineChars="200"/>
        <w:jc w:val="both"/>
        <w:rPr>
          <w:rFonts w:hint="eastAsia" w:ascii="黑体" w:hAnsi="黑体" w:eastAsia="黑体" w:cs="黑体"/>
          <w:color w:val="auto"/>
          <w:kern w:val="2"/>
          <w:sz w:val="32"/>
          <w:szCs w:val="32"/>
          <w:highlight w:val="none"/>
          <w:lang w:val="en-US" w:eastAsia="zh-CN" w:bidi="ar-SA"/>
        </w:rPr>
      </w:pPr>
      <w:r>
        <w:rPr>
          <w:rFonts w:hint="eastAsia" w:ascii="仿宋_GB2312" w:hAnsi="??_GB2312" w:eastAsia="仿宋_GB2312" w:cs="??_GB2312"/>
          <w:b/>
          <w:bCs w:val="0"/>
          <w:color w:val="auto"/>
          <w:kern w:val="2"/>
          <w:sz w:val="32"/>
          <w:szCs w:val="32"/>
          <w:highlight w:val="none"/>
          <w:lang w:val="en-US" w:eastAsia="zh-CN" w:bidi="ar-SA"/>
        </w:rPr>
        <w:t>13.加快发展海洋现代经济。</w:t>
      </w:r>
      <w:r>
        <w:rPr>
          <w:rFonts w:hint="eastAsia" w:ascii="仿宋_GB2312" w:hAnsi="宋体" w:eastAsia="仿宋_GB2312" w:cs="宋体"/>
          <w:color w:val="auto"/>
          <w:kern w:val="2"/>
          <w:sz w:val="32"/>
          <w:szCs w:val="32"/>
          <w:highlight w:val="none"/>
          <w:lang w:val="en-US" w:eastAsia="zh-CN" w:bidi="ar-SA"/>
        </w:rPr>
        <w:t>依托城区渔业资源，大力发展远洋捕捞业、海水养殖业、水产品深加工业，加快规划建设汕尾（马宫）国家级海洋牧场示范区，推动深水网箱养殖、海上冷链物流基地等项目建设，打造大湾区“粤海粮仓”重要阵地。加强与深圳海洋科技创新平台对接，共同打造高水平海洋产业技术联盟。</w:t>
      </w:r>
      <w:r>
        <w:rPr>
          <w:rFonts w:hint="eastAsia" w:ascii="黑体" w:hAnsi="黑体" w:eastAsia="黑体" w:cs="黑体"/>
          <w:color w:val="auto"/>
          <w:kern w:val="2"/>
          <w:sz w:val="32"/>
          <w:szCs w:val="32"/>
          <w:highlight w:val="none"/>
          <w:lang w:val="en-US" w:eastAsia="zh-CN" w:bidi="ar-SA"/>
        </w:rPr>
        <w:t>〔责任单位：</w:t>
      </w:r>
      <w:r>
        <w:rPr>
          <w:rFonts w:hint="eastAsia" w:ascii="黑体" w:hAnsi="黑体" w:eastAsia="黑体" w:cs="黑体"/>
          <w:color w:val="auto"/>
          <w:sz w:val="32"/>
          <w:szCs w:val="32"/>
          <w:highlight w:val="none"/>
          <w:lang w:eastAsia="zh-CN"/>
        </w:rPr>
        <w:t>区</w:t>
      </w:r>
      <w:r>
        <w:rPr>
          <w:rFonts w:hint="eastAsia" w:ascii="黑体" w:hAnsi="黑体" w:eastAsia="黑体" w:cs="黑体"/>
          <w:color w:val="auto"/>
          <w:sz w:val="32"/>
          <w:szCs w:val="32"/>
          <w:highlight w:val="none"/>
        </w:rPr>
        <w:t>发展改革局</w:t>
      </w:r>
      <w:r>
        <w:rPr>
          <w:rFonts w:hint="eastAsia" w:ascii="黑体" w:hAnsi="黑体" w:eastAsia="黑体" w:cs="黑体"/>
          <w:color w:val="auto"/>
          <w:sz w:val="32"/>
          <w:szCs w:val="32"/>
          <w:highlight w:val="none"/>
          <w:lang w:eastAsia="zh-CN"/>
        </w:rPr>
        <w:t>、区科技工业和信息化局</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区自然资源局、区农业农村和水利局、相关镇（街道）</w:t>
      </w:r>
      <w:r>
        <w:rPr>
          <w:rFonts w:hint="eastAsia" w:ascii="黑体" w:hAnsi="黑体" w:eastAsia="黑体" w:cs="黑体"/>
          <w:color w:val="auto"/>
          <w:kern w:val="2"/>
          <w:sz w:val="32"/>
          <w:szCs w:val="32"/>
          <w:highlight w:val="none"/>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0" w:lineRule="exact"/>
        <w:ind w:left="0" w:right="0" w:firstLine="640" w:firstLineChars="200"/>
        <w:jc w:val="left"/>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四、推动资源共享，提升美好生活水平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0" w:lineRule="exact"/>
        <w:ind w:left="0" w:right="0" w:firstLine="643" w:firstLineChars="200"/>
        <w:jc w:val="both"/>
        <w:rPr>
          <w:rFonts w:hint="eastAsia" w:ascii="黑体" w:hAnsi="黑体" w:eastAsia="黑体" w:cs="黑体"/>
          <w:color w:val="auto"/>
          <w:kern w:val="2"/>
          <w:sz w:val="32"/>
          <w:szCs w:val="32"/>
          <w:highlight w:val="none"/>
          <w:lang w:val="en-US" w:eastAsia="zh-CN" w:bidi="ar-SA"/>
        </w:rPr>
      </w:pPr>
      <w:r>
        <w:rPr>
          <w:rFonts w:hint="eastAsia" w:ascii="仿宋_GB2312" w:hAnsi="??_GB2312" w:eastAsia="仿宋_GB2312" w:cs="??_GB2312"/>
          <w:b/>
          <w:bCs w:val="0"/>
          <w:color w:val="auto"/>
          <w:kern w:val="2"/>
          <w:sz w:val="32"/>
          <w:szCs w:val="32"/>
          <w:highlight w:val="none"/>
          <w:lang w:val="en-US" w:eastAsia="zh-CN" w:bidi="ar-SA"/>
        </w:rPr>
        <w:t>14.加强优质教育合作交流。</w:t>
      </w:r>
      <w:r>
        <w:rPr>
          <w:rFonts w:hint="eastAsia" w:ascii="仿宋_GB2312" w:hAnsi="宋体" w:eastAsia="仿宋_GB2312" w:cs="宋体"/>
          <w:bCs/>
          <w:color w:val="auto"/>
          <w:sz w:val="32"/>
          <w:szCs w:val="32"/>
          <w:highlight w:val="none"/>
        </w:rPr>
        <w:t>探索建立深汕师资互动长效机制，开展教师双向挂职交流。</w:t>
      </w:r>
      <w:r>
        <w:rPr>
          <w:rFonts w:hint="eastAsia" w:ascii="仿宋_GB2312" w:hAnsi="宋体" w:eastAsia="仿宋_GB2312" w:cs="宋体"/>
          <w:bCs/>
          <w:color w:val="auto"/>
          <w:sz w:val="32"/>
          <w:szCs w:val="32"/>
          <w:highlight w:val="none"/>
          <w:lang w:eastAsia="zh-CN"/>
        </w:rPr>
        <w:t>主动对接大湾区高等院校，加强基础教育合作，提升基础教育阶段办学水平。</w:t>
      </w:r>
      <w:r>
        <w:rPr>
          <w:rFonts w:hint="eastAsia" w:ascii="黑体" w:hAnsi="黑体" w:eastAsia="黑体" w:cs="黑体"/>
          <w:color w:val="auto"/>
          <w:kern w:val="2"/>
          <w:sz w:val="32"/>
          <w:szCs w:val="32"/>
          <w:highlight w:val="none"/>
          <w:lang w:val="en-US" w:eastAsia="zh-CN" w:bidi="ar-SA"/>
        </w:rPr>
        <w:t>〔责任单位：区教育局、区人力资源社会保障局〕</w:t>
      </w:r>
    </w:p>
    <w:p>
      <w:pPr>
        <w:pageBreakBefore w:val="0"/>
        <w:kinsoku/>
        <w:overflowPunct/>
        <w:topLinePunct w:val="0"/>
        <w:autoSpaceDE/>
        <w:autoSpaceDN/>
        <w:bidi w:val="0"/>
        <w:spacing w:line="570" w:lineRule="exact"/>
        <w:ind w:firstLine="643" w:firstLineChars="200"/>
        <w:rPr>
          <w:rFonts w:hint="eastAsia" w:ascii="黑体" w:hAnsi="黑体" w:eastAsia="黑体" w:cs="黑体"/>
          <w:color w:val="auto"/>
          <w:sz w:val="32"/>
          <w:szCs w:val="32"/>
          <w:highlight w:val="none"/>
          <w:lang w:eastAsia="zh-CN"/>
        </w:rPr>
      </w:pPr>
      <w:r>
        <w:rPr>
          <w:rFonts w:hint="eastAsia" w:ascii="仿宋_GB2312" w:hAnsi="??_GB2312" w:eastAsia="仿宋_GB2312" w:cs="??_GB2312"/>
          <w:b/>
          <w:bCs w:val="0"/>
          <w:color w:val="auto"/>
          <w:sz w:val="32"/>
          <w:szCs w:val="32"/>
          <w:highlight w:val="none"/>
          <w:lang w:val="en-US" w:eastAsia="zh-CN"/>
        </w:rPr>
        <w:t>15.深化医疗健康资源协作联动。</w:t>
      </w:r>
      <w:r>
        <w:rPr>
          <w:rFonts w:hint="eastAsia" w:ascii="仿宋_GB2312" w:hAnsi="宋体" w:eastAsia="仿宋_GB2312" w:cs="宋体"/>
          <w:b w:val="0"/>
          <w:bCs w:val="0"/>
          <w:color w:val="auto"/>
          <w:sz w:val="32"/>
          <w:szCs w:val="32"/>
          <w:highlight w:val="none"/>
          <w:lang w:val="en-US" w:eastAsia="zh-CN"/>
        </w:rPr>
        <w:t>坚持医疗、医药、医保、医共体和数字医疗“五医联动”，</w:t>
      </w:r>
      <w:r>
        <w:rPr>
          <w:rFonts w:hint="eastAsia" w:ascii="仿宋_GB2312" w:hAnsi="宋体" w:eastAsia="仿宋_GB2312" w:cs="宋体"/>
          <w:b w:val="0"/>
          <w:bCs w:val="0"/>
          <w:strike w:val="0"/>
          <w:dstrike w:val="0"/>
          <w:color w:val="auto"/>
          <w:sz w:val="32"/>
          <w:szCs w:val="32"/>
          <w:highlight w:val="none"/>
          <w:lang w:eastAsia="zh-CN"/>
        </w:rPr>
        <w:t>推动</w:t>
      </w:r>
      <w:r>
        <w:rPr>
          <w:rFonts w:hint="eastAsia" w:ascii="仿宋_GB2312" w:hAnsi="宋体" w:eastAsia="仿宋_GB2312" w:cs="宋体"/>
          <w:b w:val="0"/>
          <w:bCs w:val="0"/>
          <w:color w:val="auto"/>
          <w:sz w:val="32"/>
          <w:szCs w:val="32"/>
          <w:highlight w:val="none"/>
        </w:rPr>
        <w:t>与大湾区医疗卫生资源共享、信息互通</w:t>
      </w:r>
      <w:r>
        <w:rPr>
          <w:rFonts w:hint="eastAsia" w:ascii="仿宋_GB2312" w:hAnsi="宋体" w:eastAsia="仿宋_GB2312" w:cs="宋体"/>
          <w:b w:val="0"/>
          <w:bCs w:val="0"/>
          <w:color w:val="auto"/>
          <w:sz w:val="32"/>
          <w:szCs w:val="32"/>
          <w:highlight w:val="none"/>
          <w:lang w:val="en-US" w:eastAsia="zh-CN"/>
        </w:rPr>
        <w:t>、结果互认。积极对接广州、深圳等高水平医院优质医疗资源，推进汕尾逸挥基金医院急诊内科综合大楼改扩建项目、区妇幼保健院建设，加快补齐医疗卫生短板。加强在医疗教育、人才培养培训、远程医疗等方面的合作，共建“互联网+”医联体，建立双向转诊、会诊制度。</w:t>
      </w:r>
      <w:r>
        <w:rPr>
          <w:rFonts w:hint="eastAsia" w:ascii="黑体" w:hAnsi="黑体" w:eastAsia="黑体" w:cs="黑体"/>
          <w:color w:val="auto"/>
          <w:sz w:val="32"/>
          <w:szCs w:val="32"/>
          <w:highlight w:val="none"/>
          <w:lang w:eastAsia="zh-CN"/>
        </w:rPr>
        <w:t>〔责任单位：区卫生健康局、区人力资源社会保障局、区医保局、区财政局〕</w:t>
      </w:r>
    </w:p>
    <w:p>
      <w:pPr>
        <w:pageBreakBefore w:val="0"/>
        <w:kinsoku/>
        <w:overflowPunct/>
        <w:topLinePunct w:val="0"/>
        <w:autoSpaceDE/>
        <w:autoSpaceDN/>
        <w:bidi w:val="0"/>
        <w:spacing w:line="570" w:lineRule="exact"/>
        <w:ind w:firstLine="643" w:firstLineChars="200"/>
        <w:rPr>
          <w:rFonts w:hint="eastAsia"/>
          <w:lang w:eastAsia="zh-CN"/>
        </w:rPr>
      </w:pPr>
      <w:r>
        <w:rPr>
          <w:rFonts w:hint="eastAsia" w:ascii="仿宋_GB2312" w:hAnsi="??_GB2312" w:eastAsia="仿宋_GB2312" w:cs="??_GB2312"/>
          <w:b/>
          <w:bCs w:val="0"/>
          <w:color w:val="auto"/>
          <w:sz w:val="32"/>
          <w:szCs w:val="32"/>
          <w:highlight w:val="none"/>
          <w:lang w:val="en-US" w:eastAsia="zh-CN"/>
        </w:rPr>
        <w:t>16.推动就业社保养老领域合作。</w:t>
      </w:r>
      <w:r>
        <w:rPr>
          <w:rFonts w:hint="eastAsia" w:ascii="仿宋_GB2312" w:hAnsi="宋体" w:eastAsia="仿宋_GB2312" w:cs="宋体"/>
          <w:color w:val="auto"/>
          <w:sz w:val="32"/>
          <w:szCs w:val="32"/>
          <w:highlight w:val="none"/>
        </w:rPr>
        <w:t>构建有序开放的公共就业服务体系，建立就业信息共享机制，参与大湾区公共创业服务联盟建设。加强与深圳等市医疗保险合作，深化完善医保互通方案，完善异地就医信息沟通和应急联动机制</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b w:val="0"/>
          <w:bCs w:val="0"/>
          <w:color w:val="auto"/>
          <w:sz w:val="32"/>
          <w:szCs w:val="32"/>
          <w:highlight w:val="none"/>
          <w:lang w:val="en-US" w:eastAsia="zh-CN"/>
        </w:rPr>
        <w:t>推进医养结合，全面开放养老服务市场，加强与港澳养老服务保障体系对接，探索建设区域性健康养老示范基地，支持港澳投资者按规定来汕兴办养老等社会服务机构，吸引粤港澳大湾区长者到城区养老。</w:t>
      </w:r>
      <w:r>
        <w:rPr>
          <w:rFonts w:hint="eastAsia" w:ascii="黑体" w:hAnsi="黑体" w:eastAsia="黑体" w:cs="黑体"/>
          <w:color w:val="auto"/>
          <w:sz w:val="32"/>
          <w:szCs w:val="32"/>
          <w:highlight w:val="none"/>
          <w:lang w:eastAsia="zh-CN"/>
        </w:rPr>
        <w:t>〔责任单位：区人力资源社会保障局、区卫生健康局、区医保局、</w:t>
      </w:r>
      <w:r>
        <w:rPr>
          <w:rFonts w:hint="eastAsia" w:ascii="黑体" w:hAnsi="黑体" w:eastAsia="黑体" w:cs="黑体"/>
          <w:color w:val="auto"/>
          <w:sz w:val="32"/>
          <w:szCs w:val="32"/>
          <w:highlight w:val="none"/>
          <w:lang w:val="en-US" w:eastAsia="zh-CN"/>
        </w:rPr>
        <w:t>区民政局</w:t>
      </w:r>
      <w:r>
        <w:rPr>
          <w:rFonts w:hint="eastAsia" w:ascii="黑体" w:hAnsi="黑体" w:eastAsia="黑体" w:cs="黑体"/>
          <w:color w:val="auto"/>
          <w:sz w:val="32"/>
          <w:szCs w:val="32"/>
          <w:highlight w:val="none"/>
          <w:lang w:eastAsia="zh-CN"/>
        </w:rPr>
        <w:t>〕</w:t>
      </w:r>
    </w:p>
    <w:p>
      <w:pPr>
        <w:pageBreakBefore w:val="0"/>
        <w:kinsoku/>
        <w:overflowPunct/>
        <w:topLinePunct w:val="0"/>
        <w:autoSpaceDE/>
        <w:autoSpaceDN/>
        <w:bidi w:val="0"/>
        <w:spacing w:line="570" w:lineRule="exact"/>
        <w:ind w:firstLine="643" w:firstLineChars="200"/>
        <w:rPr>
          <w:rFonts w:hint="eastAsia" w:ascii="黑体" w:hAnsi="黑体" w:eastAsia="黑体" w:cs="黑体"/>
          <w:color w:val="auto"/>
          <w:sz w:val="32"/>
          <w:szCs w:val="32"/>
          <w:highlight w:val="none"/>
          <w:lang w:eastAsia="zh-CN"/>
        </w:rPr>
      </w:pPr>
      <w:r>
        <w:rPr>
          <w:rFonts w:hint="eastAsia" w:ascii="仿宋_GB2312" w:hAnsi="??_GB2312" w:eastAsia="仿宋_GB2312" w:cs="??_GB2312"/>
          <w:b/>
          <w:bCs w:val="0"/>
          <w:color w:val="auto"/>
          <w:sz w:val="32"/>
          <w:szCs w:val="32"/>
          <w:highlight w:val="none"/>
          <w:lang w:val="en-US" w:eastAsia="zh-CN"/>
        </w:rPr>
        <w:t>17.加强区域文化交流合作。</w:t>
      </w:r>
      <w:r>
        <w:rPr>
          <w:rFonts w:hint="eastAsia" w:ascii="仿宋_GB2312" w:hAnsi="宋体" w:eastAsia="仿宋_GB2312" w:cs="宋体"/>
          <w:b w:val="0"/>
          <w:bCs w:val="0"/>
          <w:color w:val="auto"/>
          <w:sz w:val="32"/>
          <w:szCs w:val="32"/>
          <w:highlight w:val="none"/>
          <w:lang w:val="en-US" w:eastAsia="zh-CN"/>
        </w:rPr>
        <w:t>积极参加深莞惠汕河(3+2)区域联盟旅游推介会，加快形成跨区域联合的旅游市场推广格局。</w:t>
      </w:r>
      <w:r>
        <w:rPr>
          <w:rFonts w:hint="eastAsia" w:ascii="仿宋_GB2312" w:hAnsi="宋体" w:eastAsia="仿宋_GB2312" w:cs="宋体"/>
          <w:color w:val="auto"/>
          <w:sz w:val="32"/>
          <w:szCs w:val="32"/>
          <w:highlight w:val="none"/>
        </w:rPr>
        <w:t>加强与大湾区在文化、体育、会展等方面的交流合作，</w:t>
      </w:r>
      <w:r>
        <w:rPr>
          <w:rFonts w:hint="eastAsia" w:ascii="仿宋_GB2312" w:hAnsi="宋体" w:eastAsia="仿宋_GB2312" w:cs="宋体"/>
          <w:color w:val="auto"/>
          <w:sz w:val="32"/>
          <w:szCs w:val="32"/>
          <w:highlight w:val="none"/>
          <w:lang w:eastAsia="zh-CN"/>
        </w:rPr>
        <w:t>完善</w:t>
      </w:r>
      <w:r>
        <w:rPr>
          <w:rFonts w:hint="eastAsia" w:ascii="仿宋_GB2312" w:hAnsi="宋体" w:eastAsia="仿宋_GB2312" w:cs="宋体"/>
          <w:color w:val="auto"/>
          <w:sz w:val="32"/>
          <w:szCs w:val="32"/>
          <w:highlight w:val="none"/>
        </w:rPr>
        <w:t>交流合作平台，建立常态交流机制。积极参加大湾区文化交流活动，</w:t>
      </w:r>
      <w:r>
        <w:rPr>
          <w:rFonts w:hint="eastAsia" w:ascii="仿宋_GB2312" w:hAnsi="宋体" w:eastAsia="仿宋_GB2312" w:cs="宋体"/>
          <w:color w:val="auto"/>
          <w:sz w:val="32"/>
          <w:szCs w:val="32"/>
          <w:highlight w:val="none"/>
          <w:lang w:eastAsia="zh-CN"/>
        </w:rPr>
        <w:t>配合市</w:t>
      </w:r>
      <w:r>
        <w:rPr>
          <w:rFonts w:hint="eastAsia" w:ascii="仿宋_GB2312" w:hAnsi="宋体" w:eastAsia="仿宋_GB2312" w:cs="宋体"/>
          <w:color w:val="auto"/>
          <w:sz w:val="32"/>
          <w:szCs w:val="32"/>
          <w:highlight w:val="none"/>
        </w:rPr>
        <w:t>组织举办国内外重大体育赛事、文化节庆活动，</w:t>
      </w:r>
      <w:r>
        <w:rPr>
          <w:rFonts w:hint="eastAsia" w:ascii="仿宋_GB2312" w:hAnsi="宋体" w:eastAsia="仿宋_GB2312" w:cs="宋体"/>
          <w:color w:val="auto"/>
          <w:sz w:val="32"/>
          <w:szCs w:val="32"/>
          <w:highlight w:val="none"/>
          <w:lang w:eastAsia="zh-CN"/>
        </w:rPr>
        <w:t>协助</w:t>
      </w:r>
      <w:r>
        <w:rPr>
          <w:rFonts w:hint="eastAsia" w:ascii="仿宋_GB2312" w:hAnsi="宋体" w:eastAsia="仿宋_GB2312" w:cs="宋体"/>
          <w:color w:val="auto"/>
          <w:sz w:val="32"/>
          <w:szCs w:val="32"/>
          <w:highlight w:val="none"/>
        </w:rPr>
        <w:t>举办环粤港澳大湾区城市自行车挑战赛首站赛、总决赛</w:t>
      </w:r>
      <w:r>
        <w:rPr>
          <w:rFonts w:hint="eastAsia" w:ascii="仿宋_GB2312" w:hAnsi="宋体" w:eastAsia="仿宋_GB2312" w:cs="宋体"/>
          <w:color w:val="auto"/>
          <w:sz w:val="32"/>
          <w:szCs w:val="32"/>
          <w:highlight w:val="none"/>
          <w:lang w:eastAsia="zh-CN"/>
        </w:rPr>
        <w:t>等</w:t>
      </w: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sz w:val="32"/>
          <w:szCs w:val="32"/>
          <w:highlight w:val="none"/>
          <w:lang w:eastAsia="zh-CN"/>
        </w:rPr>
        <w:t>大力发展红色文旅产业，</w:t>
      </w:r>
      <w:r>
        <w:rPr>
          <w:rFonts w:hint="eastAsia" w:ascii="仿宋_GB2312" w:hAnsi="宋体" w:eastAsia="仿宋_GB2312" w:cs="宋体"/>
          <w:color w:val="auto"/>
          <w:sz w:val="32"/>
          <w:szCs w:val="32"/>
          <w:highlight w:val="none"/>
        </w:rPr>
        <w:t>为大湾区干部群众提供红色教育培训和实践基地。</w:t>
      </w:r>
      <w:r>
        <w:rPr>
          <w:rFonts w:hint="eastAsia" w:ascii="黑体" w:hAnsi="黑体" w:eastAsia="黑体" w:cs="黑体"/>
          <w:color w:val="auto"/>
          <w:sz w:val="32"/>
          <w:szCs w:val="32"/>
          <w:highlight w:val="none"/>
          <w:lang w:eastAsia="zh-CN"/>
        </w:rPr>
        <w:t>〔责任单位：区委宣传部、区文化广电旅游体育局〕</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pPr>
      <w:r>
        <w:rPr>
          <w:rFonts w:hint="eastAsia" w:ascii="仿宋_GB2312" w:hAnsi="??_GB2312" w:eastAsia="仿宋_GB2312" w:cs="??_GB2312"/>
          <w:b/>
          <w:bCs w:val="0"/>
          <w:color w:val="auto"/>
          <w:sz w:val="32"/>
          <w:szCs w:val="32"/>
          <w:highlight w:val="none"/>
          <w:lang w:val="en-US" w:eastAsia="zh-CN"/>
        </w:rPr>
        <w:t>18.开发共享旅游资源。</w:t>
      </w:r>
      <w:r>
        <w:rPr>
          <w:rFonts w:hint="eastAsia" w:ascii="仿宋_GB2312" w:hAnsi="仿宋_GB2312" w:eastAsia="仿宋_GB2312" w:cs="仿宋_GB2312"/>
          <w:b w:val="0"/>
          <w:bCs w:val="0"/>
          <w:color w:val="auto"/>
          <w:sz w:val="32"/>
          <w:szCs w:val="32"/>
          <w:highlight w:val="none"/>
          <w:lang w:eastAsia="zh-CN"/>
        </w:rPr>
        <w:t>加强旅游合作，谋划建设一批文化旅游特色村，发展文旅康养休闲度假、游艇观光、水上运动等高端休闲旅游项目以及会展服务，联合深圳等大湾区城市开发“一程多站”旅游精品线路，打造大湾区滨海旅游休闲度假目的地。</w:t>
      </w:r>
      <w:r>
        <w:rPr>
          <w:rFonts w:hint="eastAsia" w:ascii="黑体" w:hAnsi="黑体" w:eastAsia="黑体" w:cs="黑体"/>
          <w:b w:val="0"/>
          <w:bCs w:val="0"/>
          <w:color w:val="auto"/>
          <w:sz w:val="32"/>
          <w:szCs w:val="32"/>
          <w:highlight w:val="none"/>
          <w:lang w:eastAsia="zh-CN"/>
        </w:rPr>
        <w:t>〔责任单位：区文化广电旅游体育局、</w:t>
      </w:r>
      <w:r>
        <w:rPr>
          <w:rFonts w:hint="eastAsia" w:ascii="黑体" w:hAnsi="黑体" w:eastAsia="黑体" w:cs="黑体"/>
          <w:color w:val="auto"/>
          <w:sz w:val="32"/>
          <w:szCs w:val="32"/>
          <w:highlight w:val="none"/>
          <w:lang w:eastAsia="zh-CN"/>
        </w:rPr>
        <w:t>区科技工业和信息化局、各镇(街道)</w:t>
      </w:r>
      <w:r>
        <w:rPr>
          <w:rFonts w:hint="eastAsia" w:ascii="黑体" w:hAnsi="黑体" w:eastAsia="黑体" w:cs="黑体"/>
          <w:b w:val="0"/>
          <w:bCs w:val="0"/>
          <w:color w:val="auto"/>
          <w:sz w:val="32"/>
          <w:szCs w:val="32"/>
          <w:highlight w:val="none"/>
          <w:lang w:eastAsia="zh-CN"/>
        </w:rPr>
        <w:t>〕</w:t>
      </w:r>
    </w:p>
    <w:p>
      <w:pPr>
        <w:pageBreakBefore w:val="0"/>
        <w:kinsoku/>
        <w:overflowPunct/>
        <w:topLinePunct w:val="0"/>
        <w:autoSpaceDE/>
        <w:autoSpaceDN/>
        <w:bidi w:val="0"/>
        <w:spacing w:line="570" w:lineRule="exact"/>
        <w:ind w:firstLine="643" w:firstLineChars="200"/>
        <w:rPr>
          <w:rFonts w:hint="eastAsia" w:ascii="黑体" w:hAnsi="黑体" w:eastAsia="黑体" w:cs="黑体"/>
          <w:color w:val="auto"/>
          <w:sz w:val="32"/>
          <w:szCs w:val="32"/>
          <w:highlight w:val="none"/>
          <w:lang w:eastAsia="zh-CN"/>
        </w:rPr>
      </w:pPr>
      <w:r>
        <w:rPr>
          <w:rFonts w:hint="eastAsia" w:ascii="仿宋_GB2312" w:hAnsi="??_GB2312" w:eastAsia="仿宋_GB2312" w:cs="??_GB2312"/>
          <w:b/>
          <w:bCs w:val="0"/>
          <w:color w:val="auto"/>
          <w:sz w:val="32"/>
          <w:szCs w:val="32"/>
          <w:highlight w:val="none"/>
          <w:lang w:val="en-US" w:eastAsia="zh-CN"/>
        </w:rPr>
        <w:t>19.加强人才交流合作。</w:t>
      </w:r>
      <w:r>
        <w:rPr>
          <w:rFonts w:hint="eastAsia" w:ascii="仿宋_GB2312" w:hAnsi="宋体" w:eastAsia="仿宋_GB2312" w:cs="宋体"/>
          <w:b w:val="0"/>
          <w:bCs w:val="0"/>
          <w:color w:val="auto"/>
          <w:sz w:val="32"/>
          <w:szCs w:val="32"/>
          <w:highlight w:val="none"/>
          <w:lang w:val="en-US" w:eastAsia="zh-CN"/>
        </w:rPr>
        <w:t>深入推进招才引智行动，做好人才“引育用服管”文章。</w:t>
      </w:r>
      <w:r>
        <w:rPr>
          <w:rFonts w:hint="eastAsia" w:ascii="仿宋_GB2312" w:hAnsi="宋体" w:eastAsia="仿宋_GB2312" w:cs="宋体"/>
          <w:b w:val="0"/>
          <w:bCs w:val="0"/>
          <w:color w:val="auto"/>
          <w:sz w:val="32"/>
          <w:szCs w:val="32"/>
          <w:highlight w:val="none"/>
        </w:rPr>
        <w:t>深</w:t>
      </w:r>
      <w:r>
        <w:rPr>
          <w:rFonts w:hint="eastAsia" w:ascii="仿宋_GB2312" w:hAnsi="宋体" w:eastAsia="仿宋_GB2312" w:cs="宋体"/>
          <w:bCs/>
          <w:color w:val="auto"/>
          <w:sz w:val="32"/>
          <w:szCs w:val="32"/>
          <w:highlight w:val="none"/>
        </w:rPr>
        <w:t>化与广州、深圳等大湾区城市</w:t>
      </w:r>
      <w:r>
        <w:rPr>
          <w:rFonts w:hint="eastAsia" w:ascii="仿宋_GB2312" w:hAnsi="宋体" w:eastAsia="仿宋_GB2312" w:cs="宋体"/>
          <w:color w:val="auto"/>
          <w:sz w:val="32"/>
          <w:szCs w:val="32"/>
          <w:highlight w:val="none"/>
        </w:rPr>
        <w:t>人才交流，采取双向挂职、两地培训、委托培养等方式，</w:t>
      </w:r>
      <w:r>
        <w:rPr>
          <w:rFonts w:hint="eastAsia" w:ascii="仿宋_GB2312" w:hAnsi="宋体" w:eastAsia="仿宋_GB2312" w:cs="宋体"/>
          <w:color w:val="auto"/>
          <w:sz w:val="32"/>
          <w:szCs w:val="32"/>
          <w:highlight w:val="none"/>
          <w:lang w:eastAsia="zh-CN"/>
        </w:rPr>
        <w:t>提高人才能力水平</w:t>
      </w:r>
      <w:r>
        <w:rPr>
          <w:rFonts w:hint="eastAsia" w:ascii="仿宋_GB2312" w:hAnsi="宋体" w:eastAsia="仿宋_GB2312" w:cs="宋体"/>
          <w:color w:val="auto"/>
          <w:sz w:val="32"/>
          <w:szCs w:val="32"/>
          <w:highlight w:val="none"/>
        </w:rPr>
        <w:t>。</w:t>
      </w:r>
      <w:r>
        <w:rPr>
          <w:rFonts w:hint="eastAsia" w:ascii="仿宋_GB2312" w:hAnsi="宋体" w:eastAsia="仿宋_GB2312" w:cs="宋体"/>
          <w:b w:val="0"/>
          <w:bCs w:val="0"/>
          <w:color w:val="auto"/>
          <w:sz w:val="32"/>
          <w:szCs w:val="32"/>
          <w:highlight w:val="none"/>
          <w:lang w:val="en-US" w:eastAsia="zh-CN"/>
        </w:rPr>
        <w:t>围绕产业链布局人才链，深化“万名大学生招引”工程，支持企业建立高水平研究机构，搭建人才创新创业平台。出台高层次人才认定办法，发放汕尾英才卡，切实解决子女就学、配偶就业、住房和社会保障等问题。</w:t>
      </w:r>
      <w:r>
        <w:rPr>
          <w:rFonts w:hint="eastAsia" w:ascii="黑体" w:hAnsi="黑体" w:eastAsia="黑体" w:cs="黑体"/>
          <w:color w:val="auto"/>
          <w:sz w:val="32"/>
          <w:szCs w:val="32"/>
          <w:highlight w:val="none"/>
          <w:lang w:eastAsia="zh-CN"/>
        </w:rPr>
        <w:t>〔责任单位：区委组织部、区人力资源社会保障局、区科技工业和信息化局〕</w:t>
      </w:r>
    </w:p>
    <w:p>
      <w:pPr>
        <w:pageBreakBefore w:val="0"/>
        <w:kinsoku/>
        <w:overflowPunct/>
        <w:topLinePunct w:val="0"/>
        <w:autoSpaceDE/>
        <w:autoSpaceDN/>
        <w:bidi w:val="0"/>
        <w:spacing w:line="570" w:lineRule="exact"/>
        <w:ind w:firstLine="643" w:firstLineChars="200"/>
        <w:rPr>
          <w:rFonts w:hint="eastAsia" w:ascii="黑体" w:hAnsi="黑体" w:eastAsia="黑体" w:cs="黑体"/>
          <w:color w:val="auto"/>
          <w:sz w:val="32"/>
          <w:szCs w:val="32"/>
          <w:highlight w:val="none"/>
          <w:lang w:eastAsia="zh-CN"/>
        </w:rPr>
      </w:pPr>
      <w:r>
        <w:rPr>
          <w:rFonts w:hint="eastAsia" w:ascii="仿宋_GB2312" w:hAnsi="??_GB2312" w:eastAsia="仿宋_GB2312" w:cs="??_GB2312"/>
          <w:b/>
          <w:bCs w:val="0"/>
          <w:color w:val="auto"/>
          <w:sz w:val="32"/>
          <w:szCs w:val="32"/>
          <w:highlight w:val="none"/>
          <w:lang w:val="en-US" w:eastAsia="zh-CN"/>
        </w:rPr>
        <w:t>20.深化金融对接合作。</w:t>
      </w:r>
      <w:r>
        <w:rPr>
          <w:rFonts w:hint="eastAsia" w:ascii="仿宋_GB2312" w:hAnsi="宋体" w:eastAsia="仿宋_GB2312" w:cs="宋体"/>
          <w:b w:val="0"/>
          <w:bCs w:val="0"/>
          <w:color w:val="auto"/>
          <w:sz w:val="32"/>
          <w:szCs w:val="32"/>
          <w:highlight w:val="none"/>
          <w:lang w:val="en-US" w:eastAsia="zh-CN"/>
        </w:rPr>
        <w:t>大力开展金融招商，积极引进大湾区金融资源，配合市级有关部门推动广发银行汕尾分行开业，争取银行、保险、证券机构及融资租赁、商业保理等融资服务机构落户城区，做强金融机构、做大金融总量。</w:t>
      </w:r>
      <w:r>
        <w:rPr>
          <w:rFonts w:hint="eastAsia" w:ascii="黑体" w:hAnsi="黑体" w:eastAsia="黑体" w:cs="黑体"/>
          <w:color w:val="auto"/>
          <w:sz w:val="32"/>
          <w:szCs w:val="32"/>
          <w:highlight w:val="none"/>
          <w:lang w:eastAsia="zh-CN"/>
        </w:rPr>
        <w:t>〔责任单位：区金融局、区投资促进中心〕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3" w:firstLineChars="200"/>
        <w:textAlignment w:val="auto"/>
        <w:rPr>
          <w:rFonts w:hint="eastAsia" w:ascii="黑体" w:hAnsi="黑体" w:eastAsia="黑体" w:cs="黑体"/>
          <w:color w:val="auto"/>
          <w:sz w:val="32"/>
          <w:szCs w:val="32"/>
          <w:highlight w:val="none"/>
          <w:lang w:val="en-US" w:eastAsia="zh-CN"/>
        </w:rPr>
      </w:pPr>
      <w:r>
        <w:rPr>
          <w:rFonts w:hint="eastAsia" w:ascii="仿宋_GB2312" w:hAnsi="??_GB2312" w:eastAsia="仿宋_GB2312" w:cs="??_GB2312"/>
          <w:b/>
          <w:bCs w:val="0"/>
          <w:color w:val="auto"/>
          <w:sz w:val="32"/>
          <w:szCs w:val="32"/>
          <w:highlight w:val="none"/>
          <w:lang w:val="en-US" w:eastAsia="zh-CN"/>
        </w:rPr>
        <w:t>21.强化环境污染联防联治。</w:t>
      </w:r>
      <w:r>
        <w:rPr>
          <w:rFonts w:hint="eastAsia" w:ascii="仿宋_GB2312" w:hAnsi="宋体" w:eastAsia="仿宋_GB2312" w:cs="宋体"/>
          <w:b w:val="0"/>
          <w:bCs w:val="0"/>
          <w:color w:val="auto"/>
          <w:sz w:val="32"/>
          <w:szCs w:val="32"/>
          <w:highlight w:val="none"/>
          <w:lang w:val="en-US" w:eastAsia="zh-CN"/>
        </w:rPr>
        <w:t>积极推动与大湾区建立区域环境污染联防联治工作机制，参与大湾区跨界污染联合执法，强化多污染物协同控制和区域联防联控，持续巩固提升空气质量。进一步加强与大湾区接壤地区在流域及水库治理、水土流失防治、海洋污染防治等领域的协同治理。</w:t>
      </w:r>
      <w:r>
        <w:rPr>
          <w:rFonts w:hint="eastAsia" w:ascii="黑体" w:hAnsi="黑体" w:eastAsia="黑体" w:cs="黑体"/>
          <w:color w:val="auto"/>
          <w:sz w:val="32"/>
          <w:szCs w:val="32"/>
          <w:highlight w:val="none"/>
          <w:lang w:eastAsia="zh-CN"/>
        </w:rPr>
        <w:t>〔责任单位：</w:t>
      </w:r>
      <w:r>
        <w:rPr>
          <w:rFonts w:hint="eastAsia" w:ascii="黑体" w:hAnsi="黑体" w:eastAsia="黑体" w:cs="黑体"/>
          <w:color w:val="auto"/>
          <w:kern w:val="2"/>
          <w:sz w:val="32"/>
          <w:szCs w:val="32"/>
          <w:highlight w:val="none"/>
          <w:lang w:val="en-US" w:eastAsia="zh-CN" w:bidi="ar-SA"/>
        </w:rPr>
        <w:t>市生态环境局城区分局、区自然资源局、</w:t>
      </w:r>
      <w:r>
        <w:rPr>
          <w:rFonts w:hint="eastAsia" w:ascii="黑体" w:hAnsi="黑体" w:eastAsia="黑体" w:cs="黑体"/>
          <w:color w:val="auto"/>
          <w:sz w:val="32"/>
          <w:szCs w:val="32"/>
          <w:highlight w:val="none"/>
          <w:lang w:eastAsia="zh-CN"/>
        </w:rPr>
        <w:t>区农业农村和水利局〕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70" w:lineRule="exact"/>
        <w:ind w:left="0" w:right="0" w:firstLine="640" w:firstLineChars="200"/>
        <w:jc w:val="left"/>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五、探索机制共活，着力扩大高水平开放</w:t>
      </w:r>
    </w:p>
    <w:p>
      <w:pPr>
        <w:pStyle w:val="10"/>
        <w:pageBreakBefore w:val="0"/>
        <w:kinsoku/>
        <w:overflowPunct/>
        <w:topLinePunct w:val="0"/>
        <w:autoSpaceDE/>
        <w:autoSpaceDN/>
        <w:bidi w:val="0"/>
        <w:spacing w:line="570" w:lineRule="exact"/>
        <w:ind w:left="0" w:leftChars="0" w:firstLine="643" w:firstLineChars="200"/>
        <w:rPr>
          <w:rFonts w:hint="eastAsia" w:ascii="仿宋_GB2312" w:hAnsi="宋体" w:eastAsia="仿宋_GB2312" w:cs="宋体"/>
          <w:b w:val="0"/>
          <w:bCs w:val="0"/>
          <w:color w:val="auto"/>
          <w:sz w:val="32"/>
          <w:szCs w:val="32"/>
          <w:highlight w:val="none"/>
          <w:lang w:val="en-US" w:eastAsia="zh-CN"/>
        </w:rPr>
      </w:pPr>
      <w:r>
        <w:rPr>
          <w:rFonts w:hint="eastAsia" w:ascii="仿宋_GB2312" w:hAnsi="??_GB2312" w:eastAsia="仿宋_GB2312" w:cs="??_GB2312"/>
          <w:b/>
          <w:bCs w:val="0"/>
          <w:color w:val="auto"/>
          <w:kern w:val="2"/>
          <w:sz w:val="32"/>
          <w:szCs w:val="32"/>
          <w:highlight w:val="none"/>
          <w:lang w:val="en-US" w:eastAsia="zh-CN" w:bidi="ar-SA"/>
        </w:rPr>
        <w:t>22.纵深推进营商环境综合改革。</w:t>
      </w:r>
      <w:r>
        <w:rPr>
          <w:rFonts w:hint="eastAsia" w:ascii="仿宋_GB2312" w:hAnsi="仿宋_GB2312" w:eastAsia="仿宋_GB2312" w:cs="仿宋_GB2312"/>
          <w:color w:val="auto"/>
          <w:sz w:val="32"/>
          <w:szCs w:val="32"/>
          <w:highlight w:val="none"/>
        </w:rPr>
        <w:t>对标学习</w:t>
      </w:r>
      <w:r>
        <w:rPr>
          <w:rFonts w:hint="eastAsia" w:ascii="仿宋_GB2312" w:hAnsi="仿宋_GB2312" w:eastAsia="仿宋_GB2312" w:cs="仿宋_GB2312"/>
          <w:color w:val="auto"/>
          <w:sz w:val="32"/>
          <w:szCs w:val="32"/>
          <w:highlight w:val="none"/>
          <w:lang w:eastAsia="zh-CN"/>
        </w:rPr>
        <w:t>大湾区</w:t>
      </w:r>
      <w:r>
        <w:rPr>
          <w:rFonts w:hint="eastAsia" w:ascii="仿宋_GB2312" w:hAnsi="仿宋_GB2312" w:eastAsia="仿宋_GB2312" w:cs="仿宋_GB2312"/>
          <w:color w:val="auto"/>
          <w:sz w:val="32"/>
          <w:szCs w:val="32"/>
          <w:highlight w:val="none"/>
        </w:rPr>
        <w:t>优化营商环境，以数字政府建设为驱动，</w:t>
      </w:r>
      <w:r>
        <w:rPr>
          <w:rFonts w:hint="eastAsia" w:ascii="仿宋_GB2312" w:hAnsi="宋体" w:eastAsia="仿宋_GB2312" w:cs="宋体"/>
          <w:b w:val="0"/>
          <w:bCs w:val="0"/>
          <w:color w:val="auto"/>
          <w:sz w:val="32"/>
          <w:szCs w:val="32"/>
          <w:highlight w:val="none"/>
          <w:lang w:val="en-US" w:eastAsia="zh-CN"/>
        </w:rPr>
        <w:t>深化“放管服”改革，</w:t>
      </w:r>
      <w:r>
        <w:rPr>
          <w:rFonts w:hint="eastAsia" w:ascii="仿宋_GB2312" w:hAnsi="仿宋_GB2312" w:eastAsia="仿宋_GB2312" w:cs="仿宋_GB2312"/>
          <w:color w:val="auto"/>
          <w:sz w:val="32"/>
          <w:szCs w:val="32"/>
          <w:highlight w:val="none"/>
        </w:rPr>
        <w:t>加快</w:t>
      </w:r>
      <w:r>
        <w:rPr>
          <w:rFonts w:hint="eastAsia" w:ascii="仿宋_GB2312" w:hAnsi="仿宋_GB2312" w:eastAsia="仿宋_GB2312" w:cs="仿宋_GB2312"/>
          <w:color w:val="auto"/>
          <w:sz w:val="32"/>
          <w:szCs w:val="32"/>
          <w:highlight w:val="none"/>
          <w:lang w:eastAsia="zh-CN"/>
        </w:rPr>
        <w:t>实现</w:t>
      </w:r>
      <w:r>
        <w:rPr>
          <w:rFonts w:hint="eastAsia" w:ascii="仿宋_GB2312" w:hAnsi="仿宋_GB2312" w:eastAsia="仿宋_GB2312" w:cs="仿宋_GB2312"/>
          <w:color w:val="auto"/>
          <w:sz w:val="32"/>
          <w:szCs w:val="32"/>
          <w:highlight w:val="none"/>
        </w:rPr>
        <w:t>“六个通办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“八个便利化”、无证明城市等创新举措等，全力打造</w:t>
      </w:r>
      <w:r>
        <w:rPr>
          <w:rFonts w:hint="eastAsia" w:ascii="仿宋_GB2312" w:hAnsi="宋体" w:eastAsia="仿宋_GB2312" w:cs="宋体"/>
          <w:b w:val="0"/>
          <w:bCs w:val="0"/>
          <w:color w:val="auto"/>
          <w:sz w:val="32"/>
          <w:szCs w:val="32"/>
          <w:highlight w:val="none"/>
          <w:lang w:val="en-US" w:eastAsia="zh-CN"/>
        </w:rPr>
        <w:t>“四个一流”</w:t>
      </w:r>
      <w:r>
        <w:rPr>
          <w:rFonts w:hint="eastAsia" w:ascii="仿宋_GB2312" w:hAnsi="仿宋_GB2312" w:eastAsia="仿宋_GB2312" w:cs="仿宋_GB2312"/>
          <w:color w:val="auto"/>
          <w:sz w:val="32"/>
          <w:szCs w:val="32"/>
          <w:highlight w:val="none"/>
        </w:rPr>
        <w:t>环境。对标学习</w:t>
      </w:r>
      <w:r>
        <w:rPr>
          <w:rFonts w:hint="eastAsia" w:ascii="仿宋_GB2312" w:hAnsi="仿宋_GB2312" w:eastAsia="仿宋_GB2312" w:cs="仿宋_GB2312"/>
          <w:color w:val="auto"/>
          <w:sz w:val="32"/>
          <w:szCs w:val="32"/>
          <w:highlight w:val="none"/>
          <w:lang w:eastAsia="zh-CN"/>
        </w:rPr>
        <w:t>深圳</w:t>
      </w:r>
      <w:r>
        <w:rPr>
          <w:rFonts w:hint="eastAsia" w:ascii="仿宋_GB2312" w:hAnsi="仿宋_GB2312" w:eastAsia="仿宋_GB2312" w:cs="仿宋_GB2312"/>
          <w:color w:val="auto"/>
          <w:sz w:val="32"/>
          <w:szCs w:val="32"/>
          <w:highlight w:val="none"/>
        </w:rPr>
        <w:t>完善城市管理经验，创新社会治理，深入推进平安汕尾、法治汕尾建设，提高运用法治方式、法治手段推进改革发展稳定各项工作的能力和水平。</w:t>
      </w:r>
      <w:r>
        <w:rPr>
          <w:rFonts w:hint="eastAsia" w:ascii="黑体" w:hAnsi="黑体" w:eastAsia="黑体" w:cs="黑体"/>
          <w:b w:val="0"/>
          <w:bCs w:val="0"/>
          <w:color w:val="auto"/>
          <w:sz w:val="32"/>
          <w:szCs w:val="32"/>
          <w:highlight w:val="none"/>
          <w:lang w:eastAsia="zh-CN"/>
        </w:rPr>
        <w:t>〔责任单位：区委政法委、区发展改革局、区市场监管局、区政务服务数据管理局、区公安分局、区司法局〕</w:t>
      </w:r>
    </w:p>
    <w:p>
      <w:pPr>
        <w:pStyle w:val="10"/>
        <w:pageBreakBefore w:val="0"/>
        <w:kinsoku/>
        <w:overflowPunct/>
        <w:topLinePunct w:val="0"/>
        <w:autoSpaceDE/>
        <w:autoSpaceDN/>
        <w:bidi w:val="0"/>
        <w:spacing w:line="570" w:lineRule="exact"/>
        <w:ind w:firstLine="643" w:firstLineChars="200"/>
        <w:rPr>
          <w:rFonts w:hint="eastAsia" w:ascii="黑体" w:hAnsi="黑体" w:eastAsia="黑体" w:cs="黑体"/>
          <w:color w:val="auto"/>
          <w:kern w:val="2"/>
          <w:sz w:val="32"/>
          <w:szCs w:val="32"/>
          <w:highlight w:val="none"/>
          <w:lang w:val="en-US" w:eastAsia="zh-CN" w:bidi="ar-SA"/>
        </w:rPr>
      </w:pPr>
      <w:r>
        <w:rPr>
          <w:rFonts w:hint="eastAsia" w:ascii="仿宋_GB2312" w:hAnsi="??_GB2312" w:eastAsia="仿宋_GB2312" w:cs="??_GB2312"/>
          <w:b/>
          <w:bCs w:val="0"/>
          <w:color w:val="auto"/>
          <w:kern w:val="2"/>
          <w:sz w:val="32"/>
          <w:szCs w:val="32"/>
          <w:highlight w:val="none"/>
          <w:lang w:val="en-US" w:eastAsia="zh-CN" w:bidi="ar-SA"/>
        </w:rPr>
        <w:t>23.加强改革系统集成协同高效。</w:t>
      </w:r>
      <w:r>
        <w:rPr>
          <w:rFonts w:hint="eastAsia" w:ascii="仿宋_GB2312" w:hAnsi="宋体" w:eastAsia="仿宋_GB2312" w:cs="宋体"/>
          <w:b w:val="0"/>
          <w:bCs w:val="0"/>
          <w:color w:val="auto"/>
          <w:kern w:val="0"/>
          <w:sz w:val="32"/>
          <w:szCs w:val="32"/>
          <w:highlight w:val="none"/>
          <w:lang w:val="en-US" w:eastAsia="zh-CN" w:bidi="ar"/>
        </w:rPr>
        <w:t>对接支持深圳实施综合改革试点，协同推进要素市场、营商环境、科技创新、对外开放、民生供给、生态环境和城市空间治理等重点领域改革。对标学习深圳改革精神和改革经验，聚焦国资国企、财税金融、农村综合改革等领域，策划实施一批创造型引领型改革，推动全面深化改革向纵深发展，破除体制性障碍、机制性梗阻。</w:t>
      </w:r>
      <w:r>
        <w:rPr>
          <w:rFonts w:hint="eastAsia" w:ascii="黑体" w:hAnsi="黑体" w:eastAsia="黑体" w:cs="黑体"/>
          <w:color w:val="auto"/>
          <w:kern w:val="2"/>
          <w:sz w:val="32"/>
          <w:szCs w:val="32"/>
          <w:highlight w:val="none"/>
          <w:lang w:val="en-US" w:eastAsia="zh-CN" w:bidi="ar-SA"/>
        </w:rPr>
        <w:t>〔责任单位：区直相关部门〕</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textAlignment w:val="auto"/>
        <w:rPr>
          <w:rFonts w:hint="eastAsia" w:ascii="黑体" w:hAnsi="黑体" w:eastAsia="黑体" w:cs="黑体"/>
          <w:b/>
          <w:bCs/>
          <w:color w:val="auto"/>
          <w:sz w:val="32"/>
          <w:szCs w:val="32"/>
          <w:highlight w:val="none"/>
          <w:lang w:val="en-US" w:eastAsia="zh-CN"/>
        </w:rPr>
      </w:pPr>
      <w:r>
        <w:rPr>
          <w:rFonts w:hint="eastAsia" w:ascii="仿宋_GB2312" w:hAnsi="??_GB2312" w:eastAsia="仿宋_GB2312" w:cs="??_GB2312"/>
          <w:b/>
          <w:bCs w:val="0"/>
          <w:color w:val="auto"/>
          <w:sz w:val="32"/>
          <w:szCs w:val="32"/>
          <w:highlight w:val="none"/>
          <w:lang w:val="en-US" w:eastAsia="zh-CN"/>
        </w:rPr>
        <w:t>24.全面拓展更高水平的对外开放。</w:t>
      </w:r>
      <w:r>
        <w:rPr>
          <w:rFonts w:hint="eastAsia" w:ascii="仿宋_GB2312" w:hAnsi="仿宋_GB2312" w:eastAsia="仿宋_GB2312" w:cs="仿宋_GB2312"/>
          <w:color w:val="auto"/>
          <w:sz w:val="32"/>
          <w:szCs w:val="32"/>
          <w:highlight w:val="none"/>
        </w:rPr>
        <w:t>主动接受</w:t>
      </w:r>
      <w:r>
        <w:rPr>
          <w:rFonts w:hint="eastAsia" w:ascii="仿宋_GB2312" w:hAnsi="仿宋_GB2312" w:eastAsia="仿宋_GB2312" w:cs="仿宋_GB2312"/>
          <w:color w:val="auto"/>
          <w:sz w:val="32"/>
          <w:szCs w:val="32"/>
          <w:highlight w:val="none"/>
          <w:lang w:eastAsia="zh-CN"/>
        </w:rPr>
        <w:t>大湾区</w:t>
      </w:r>
      <w:r>
        <w:rPr>
          <w:rFonts w:hint="eastAsia" w:ascii="仿宋_GB2312" w:hAnsi="仿宋_GB2312" w:eastAsia="仿宋_GB2312" w:cs="仿宋_GB2312"/>
          <w:color w:val="auto"/>
          <w:sz w:val="32"/>
          <w:szCs w:val="32"/>
          <w:highlight w:val="none"/>
        </w:rPr>
        <w:t>辐射带动，积极对接深圳自贸区并复制运用自贸区成功经验，</w:t>
      </w:r>
      <w:r>
        <w:rPr>
          <w:rFonts w:hint="eastAsia" w:ascii="仿宋_GB2312" w:hAnsi="仿宋_GB2312" w:eastAsia="仿宋_GB2312" w:cs="仿宋_GB2312"/>
          <w:color w:val="auto"/>
          <w:sz w:val="32"/>
          <w:szCs w:val="32"/>
          <w:highlight w:val="none"/>
          <w:lang w:eastAsia="zh-CN"/>
        </w:rPr>
        <w:t>配合市</w:t>
      </w:r>
      <w:r>
        <w:rPr>
          <w:rFonts w:hint="eastAsia" w:ascii="仿宋_GB2312" w:hAnsi="仿宋_GB2312" w:eastAsia="仿宋_GB2312" w:cs="仿宋_GB2312"/>
          <w:color w:val="auto"/>
          <w:sz w:val="32"/>
          <w:szCs w:val="32"/>
          <w:highlight w:val="none"/>
        </w:rPr>
        <w:t>推进综合保税区、跨境电商综合试验区和自贸区联动发展区三大对外平台的申报创建工作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完善国际贸易“单一窗口”平台功能拓展，为企业提供“大通关”的优质服务，推进贸易便利化</w:t>
      </w:r>
      <w:r>
        <w:rPr>
          <w:rFonts w:hint="eastAsia" w:ascii="仿宋_GB2312" w:hAnsi="仿宋_GB2312" w:eastAsia="仿宋_GB2312" w:cs="仿宋_GB2312"/>
          <w:color w:val="auto"/>
          <w:sz w:val="32"/>
          <w:szCs w:val="32"/>
          <w:highlight w:val="none"/>
          <w:lang w:eastAsia="zh-CN"/>
        </w:rPr>
        <w:t>。</w:t>
      </w:r>
      <w:r>
        <w:rPr>
          <w:rFonts w:hint="eastAsia" w:ascii="黑体" w:hAnsi="黑体" w:eastAsia="黑体" w:cs="黑体"/>
          <w:color w:val="auto"/>
          <w:sz w:val="32"/>
          <w:szCs w:val="32"/>
          <w:highlight w:val="none"/>
          <w:lang w:eastAsia="zh-CN"/>
        </w:rPr>
        <w:t>〔责任单位：区</w:t>
      </w:r>
      <w:r>
        <w:rPr>
          <w:rFonts w:hint="eastAsia" w:ascii="黑体" w:hAnsi="黑体" w:eastAsia="黑体" w:cs="黑体"/>
          <w:color w:val="auto"/>
          <w:sz w:val="32"/>
          <w:szCs w:val="32"/>
          <w:highlight w:val="none"/>
        </w:rPr>
        <w:t>发展改革局、</w:t>
      </w:r>
      <w:r>
        <w:rPr>
          <w:rFonts w:hint="eastAsia" w:ascii="黑体" w:hAnsi="黑体" w:eastAsia="黑体" w:cs="黑体"/>
          <w:color w:val="auto"/>
          <w:sz w:val="32"/>
          <w:szCs w:val="32"/>
          <w:highlight w:val="none"/>
          <w:lang w:eastAsia="zh-CN"/>
        </w:rPr>
        <w:t>区科技工业和信息化局、区</w:t>
      </w:r>
      <w:r>
        <w:rPr>
          <w:rFonts w:hint="eastAsia" w:ascii="黑体" w:hAnsi="黑体" w:eastAsia="黑体" w:cs="黑体"/>
          <w:color w:val="auto"/>
          <w:sz w:val="32"/>
          <w:szCs w:val="32"/>
          <w:highlight w:val="none"/>
        </w:rPr>
        <w:t>市场监管局、</w:t>
      </w:r>
      <w:r>
        <w:rPr>
          <w:rFonts w:hint="eastAsia" w:ascii="黑体" w:hAnsi="黑体" w:eastAsia="黑体" w:cs="黑体"/>
          <w:color w:val="auto"/>
          <w:sz w:val="32"/>
          <w:szCs w:val="32"/>
          <w:highlight w:val="none"/>
          <w:lang w:eastAsia="zh-CN"/>
        </w:rPr>
        <w:t>区</w:t>
      </w:r>
      <w:r>
        <w:rPr>
          <w:rFonts w:hint="eastAsia" w:ascii="黑体" w:hAnsi="黑体" w:eastAsia="黑体" w:cs="黑体"/>
          <w:color w:val="auto"/>
          <w:sz w:val="32"/>
          <w:szCs w:val="32"/>
          <w:highlight w:val="none"/>
        </w:rPr>
        <w:t>政务服务数据管理局、</w:t>
      </w:r>
      <w:r>
        <w:rPr>
          <w:rFonts w:hint="eastAsia" w:ascii="黑体" w:hAnsi="黑体" w:eastAsia="黑体" w:cs="黑体"/>
          <w:color w:val="auto"/>
          <w:sz w:val="32"/>
          <w:szCs w:val="32"/>
          <w:highlight w:val="none"/>
          <w:lang w:eastAsia="zh-CN"/>
        </w:rPr>
        <w:t>区金融局</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区</w:t>
      </w:r>
      <w:r>
        <w:rPr>
          <w:rFonts w:hint="eastAsia" w:ascii="黑体" w:hAnsi="黑体" w:eastAsia="黑体" w:cs="黑体"/>
          <w:color w:val="auto"/>
          <w:sz w:val="32"/>
          <w:szCs w:val="32"/>
          <w:highlight w:val="none"/>
        </w:rPr>
        <w:t>税务局</w:t>
      </w:r>
      <w:r>
        <w:rPr>
          <w:rFonts w:hint="eastAsia" w:ascii="黑体" w:hAnsi="黑体" w:eastAsia="黑体" w:cs="黑体"/>
          <w:color w:val="auto"/>
          <w:sz w:val="32"/>
          <w:szCs w:val="32"/>
          <w:highlight w:val="none"/>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4F0BF"/>
    <w:multiLevelType w:val="singleLevel"/>
    <w:tmpl w:val="A8C4F0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MDFkMGVmZGI2YWIwNDkyYzM2OGI5ZmIyMGNmZTQifQ=="/>
  </w:docVars>
  <w:rsids>
    <w:rsidRoot w:val="00172A27"/>
    <w:rsid w:val="00427989"/>
    <w:rsid w:val="033B379E"/>
    <w:rsid w:val="039B5B6E"/>
    <w:rsid w:val="04C335CE"/>
    <w:rsid w:val="05F46FC1"/>
    <w:rsid w:val="072079C5"/>
    <w:rsid w:val="076614A1"/>
    <w:rsid w:val="0CAC2B9A"/>
    <w:rsid w:val="0D046CC6"/>
    <w:rsid w:val="0E253B7B"/>
    <w:rsid w:val="0EBC3D26"/>
    <w:rsid w:val="112E177F"/>
    <w:rsid w:val="127D3B5C"/>
    <w:rsid w:val="12C5359C"/>
    <w:rsid w:val="15293463"/>
    <w:rsid w:val="16D75879"/>
    <w:rsid w:val="16F7713E"/>
    <w:rsid w:val="17F722FE"/>
    <w:rsid w:val="1C016E9E"/>
    <w:rsid w:val="1D2C3D3C"/>
    <w:rsid w:val="1DCE4D83"/>
    <w:rsid w:val="1EB0247E"/>
    <w:rsid w:val="205A2C0B"/>
    <w:rsid w:val="20DE6178"/>
    <w:rsid w:val="20F061BE"/>
    <w:rsid w:val="242E6822"/>
    <w:rsid w:val="25B31D45"/>
    <w:rsid w:val="28B419DD"/>
    <w:rsid w:val="2F7C5E55"/>
    <w:rsid w:val="313E551B"/>
    <w:rsid w:val="37FD3E5F"/>
    <w:rsid w:val="39A9DD22"/>
    <w:rsid w:val="39BC5332"/>
    <w:rsid w:val="3B8511D2"/>
    <w:rsid w:val="3BA27405"/>
    <w:rsid w:val="3BBFC676"/>
    <w:rsid w:val="3D0A63DA"/>
    <w:rsid w:val="4066015C"/>
    <w:rsid w:val="456265F2"/>
    <w:rsid w:val="47E4522F"/>
    <w:rsid w:val="4B521B91"/>
    <w:rsid w:val="4CBC35E1"/>
    <w:rsid w:val="4D247F76"/>
    <w:rsid w:val="4DC7EA0D"/>
    <w:rsid w:val="4EC03AC7"/>
    <w:rsid w:val="500E47CD"/>
    <w:rsid w:val="50C9CAF3"/>
    <w:rsid w:val="53D78452"/>
    <w:rsid w:val="53F5505B"/>
    <w:rsid w:val="54BE7B10"/>
    <w:rsid w:val="55490D67"/>
    <w:rsid w:val="5976E0D8"/>
    <w:rsid w:val="5A257B45"/>
    <w:rsid w:val="5B2310BA"/>
    <w:rsid w:val="5B72637C"/>
    <w:rsid w:val="5D083AE8"/>
    <w:rsid w:val="5F6B4B23"/>
    <w:rsid w:val="615D45E1"/>
    <w:rsid w:val="618A27F6"/>
    <w:rsid w:val="6784541A"/>
    <w:rsid w:val="681B3DDE"/>
    <w:rsid w:val="68B75DE5"/>
    <w:rsid w:val="691A32A4"/>
    <w:rsid w:val="6A210061"/>
    <w:rsid w:val="6BD74E73"/>
    <w:rsid w:val="6D1E7E61"/>
    <w:rsid w:val="6DFF89D7"/>
    <w:rsid w:val="70704E8B"/>
    <w:rsid w:val="71B0505E"/>
    <w:rsid w:val="71C27C81"/>
    <w:rsid w:val="71FD3510"/>
    <w:rsid w:val="72DB2975"/>
    <w:rsid w:val="73B52784"/>
    <w:rsid w:val="74C67E3C"/>
    <w:rsid w:val="77EE7E66"/>
    <w:rsid w:val="77FD1BF9"/>
    <w:rsid w:val="783470E0"/>
    <w:rsid w:val="7AC46B63"/>
    <w:rsid w:val="7E203E3B"/>
    <w:rsid w:val="7F3574C4"/>
    <w:rsid w:val="7F873D62"/>
    <w:rsid w:val="7FAE52CB"/>
    <w:rsid w:val="7FFDBB7B"/>
    <w:rsid w:val="7FFF9AD1"/>
    <w:rsid w:val="A2B34E8C"/>
    <w:rsid w:val="BDD76949"/>
    <w:rsid w:val="BFAF920F"/>
    <w:rsid w:val="DEA72CF1"/>
    <w:rsid w:val="DEDF991E"/>
    <w:rsid w:val="DFFD70C7"/>
    <w:rsid w:val="EFFDBC91"/>
    <w:rsid w:val="F7732E44"/>
    <w:rsid w:val="FB7D9D06"/>
    <w:rsid w:val="FBFF71DA"/>
    <w:rsid w:val="FDFF6602"/>
    <w:rsid w:val="FE7BA617"/>
    <w:rsid w:val="FFCEDDB0"/>
    <w:rsid w:val="FFDD7A44"/>
    <w:rsid w:val="FFF12767"/>
    <w:rsid w:val="FFF7C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120" w:after="120" w:line="500" w:lineRule="exact"/>
      <w:outlineLvl w:val="2"/>
    </w:pPr>
    <w:rPr>
      <w:rFonts w:ascii="Times New Roman" w:hAnsi="Times New Roman" w:eastAsia="仿宋"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3" w:lineRule="auto"/>
      <w:textAlignment w:val="baseline"/>
    </w:pPr>
    <w:rPr>
      <w:rFonts w:ascii="Arial" w:hAnsi="Arial" w:eastAsia="黑体"/>
      <w:b/>
      <w:kern w:val="2"/>
      <w:sz w:val="32"/>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1"/>
    <w:next w:val="1"/>
    <w:qFormat/>
    <w:uiPriority w:val="0"/>
    <w:pPr>
      <w:ind w:firstLine="420" w:firstLineChars="200"/>
    </w:pPr>
    <w:rPr>
      <w:rFonts w:ascii="Calibri" w:hAnsi="Calibri"/>
      <w:szCs w:val="22"/>
    </w:rPr>
  </w:style>
  <w:style w:type="character" w:styleId="13">
    <w:name w:val="Strong"/>
    <w:basedOn w:val="12"/>
    <w:qFormat/>
    <w:uiPriority w:val="0"/>
    <w:rPr>
      <w:b/>
    </w:rPr>
  </w:style>
  <w:style w:type="character" w:styleId="14">
    <w:name w:val="FollowedHyperlink"/>
    <w:basedOn w:val="12"/>
    <w:qFormat/>
    <w:uiPriority w:val="0"/>
    <w:rPr>
      <w:color w:val="000000"/>
      <w:u w:val="none"/>
    </w:rPr>
  </w:style>
  <w:style w:type="character" w:styleId="15">
    <w:name w:val="Emphasis"/>
    <w:basedOn w:val="12"/>
    <w:qFormat/>
    <w:uiPriority w:val="0"/>
  </w:style>
  <w:style w:type="character" w:styleId="16">
    <w:name w:val="Hyperlink"/>
    <w:basedOn w:val="12"/>
    <w:qFormat/>
    <w:uiPriority w:val="0"/>
    <w:rPr>
      <w:color w:val="000000"/>
      <w:u w:val="none"/>
    </w:rPr>
  </w:style>
  <w:style w:type="character" w:customStyle="1" w:styleId="17">
    <w:name w:val="color01"/>
    <w:basedOn w:val="12"/>
    <w:qFormat/>
    <w:uiPriority w:val="0"/>
  </w:style>
  <w:style w:type="character" w:customStyle="1" w:styleId="18">
    <w:name w:val="ond"/>
    <w:basedOn w:val="12"/>
    <w:qFormat/>
    <w:uiPriority w:val="0"/>
    <w:rPr>
      <w:color w:val="FFFFFF"/>
      <w:u w:val="none"/>
      <w:shd w:val="clear" w:fill="AE0015"/>
    </w:rPr>
  </w:style>
  <w:style w:type="character" w:customStyle="1" w:styleId="19">
    <w:name w:val="ondsd"/>
    <w:basedOn w:val="12"/>
    <w:qFormat/>
    <w:uiPriority w:val="0"/>
    <w:rPr>
      <w:color w:val="7297B4"/>
    </w:rPr>
  </w:style>
  <w:style w:type="paragraph" w:customStyle="1" w:styleId="20">
    <w:name w:val="正文 首行缩进"/>
    <w:basedOn w:val="1"/>
    <w:qFormat/>
    <w:uiPriority w:val="0"/>
    <w:pPr>
      <w:adjustRightInd w:val="0"/>
      <w:spacing w:line="360" w:lineRule="auto"/>
      <w:ind w:firstLine="437"/>
      <w:jc w:val="left"/>
    </w:pPr>
    <w:rPr>
      <w:rFonts w:hint="eastAsia" w:ascii="宋体" w:hAnsi="宋体" w:eastAsia="宋体" w:cs="Times New Roman"/>
      <w:kern w:val="0"/>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4378</Words>
  <Characters>4440</Characters>
  <Lines>0</Lines>
  <Paragraphs>0</Paragraphs>
  <TotalTime>27</TotalTime>
  <ScaleCrop>false</ScaleCrop>
  <LinksUpToDate>false</LinksUpToDate>
  <CharactersWithSpaces>4444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2022-03-20T11:03:00Z</dcterms:created>
  <dc:creator>Administrator</dc:creator>
  <cp:lastModifiedBy>Admin</cp:lastModifiedBy>
  <cp:lastPrinted>2022-09-08T01:50:00Z</cp:lastPrinted>
  <dcterms:modified xsi:type="dcterms:W3CDTF">2022-09-29T01:38:14Z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54CA9768D72A463CB5B59BB1B2C68E3F</vt:lpwstr>
  </property>
</Properties>
</file>