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F8E6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汕尾市城区区属国有企业工资决定机制改革实施办法（征求意见稿）</w:t>
      </w:r>
    </w:p>
    <w:p w14:paraId="40FF95FF">
      <w:pPr>
        <w:keepNext w:val="0"/>
        <w:keepLines w:val="0"/>
        <w:pageBreakBefore w:val="0"/>
        <w:widowControl/>
        <w:kinsoku/>
        <w:wordWrap/>
        <w:overflowPunct/>
        <w:topLinePunct w:val="0"/>
        <w:bidi w:val="0"/>
        <w:spacing w:line="301" w:lineRule="auto"/>
        <w:rPr>
          <w:rFonts w:ascii="Arial"/>
          <w:sz w:val="21"/>
        </w:rPr>
      </w:pPr>
    </w:p>
    <w:p w14:paraId="053B8B30">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第一章  总则</w:t>
      </w:r>
    </w:p>
    <w:p w14:paraId="72E526A4">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第一条</w:t>
      </w:r>
      <w:r>
        <w:rPr>
          <w:rFonts w:hint="eastAsia" w:ascii="仿宋_GB2312" w:hAnsi="仿宋_GB2312" w:eastAsia="仿宋_GB2312" w:cs="仿宋_GB2312"/>
          <w:snapToGrid/>
          <w:kern w:val="0"/>
          <w:sz w:val="32"/>
          <w:szCs w:val="32"/>
          <w:lang w:val="en-US" w:eastAsia="zh-CN" w:bidi="ar-SA"/>
        </w:rPr>
        <w:t xml:space="preserve"> 为切实履行企业国有资产出资人职责，指导企业进一步深化收入分配制度改革，完善企业收入分配调控机制，规范企业工资总额管理，推进国有资本做强做优做大，根据《广东省人民政府关于改革国有企业工资决定机制的实施意见》（粤府〔2019〕5号）、《关于印发汕尾市市属企业工资决定机制改革实施办法的通知》（汕国资〔2020〕108号）等文件精神，结合</w:t>
      </w:r>
      <w:bookmarkStart w:id="0" w:name="OLE_LINK1"/>
      <w:r>
        <w:rPr>
          <w:rFonts w:hint="eastAsia" w:ascii="仿宋_GB2312" w:hAnsi="仿宋_GB2312" w:eastAsia="仿宋_GB2312" w:cs="仿宋_GB2312"/>
          <w:snapToGrid/>
          <w:kern w:val="0"/>
          <w:sz w:val="32"/>
          <w:szCs w:val="32"/>
          <w:lang w:val="en-US" w:eastAsia="zh-CN" w:bidi="ar-SA"/>
        </w:rPr>
        <w:t>汕尾市城区区属国有企业</w:t>
      </w:r>
      <w:bookmarkEnd w:id="0"/>
      <w:r>
        <w:rPr>
          <w:rFonts w:hint="eastAsia" w:ascii="仿宋_GB2312" w:hAnsi="仿宋_GB2312" w:eastAsia="仿宋_GB2312" w:cs="仿宋_GB2312"/>
          <w:snapToGrid/>
          <w:kern w:val="0"/>
          <w:sz w:val="32"/>
          <w:szCs w:val="32"/>
          <w:lang w:val="en-US" w:eastAsia="zh-CN" w:bidi="ar-SA"/>
        </w:rPr>
        <w:t>实际情况，制定本办法。</w:t>
      </w:r>
    </w:p>
    <w:p w14:paraId="0289E521">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第二条</w:t>
      </w:r>
      <w:r>
        <w:rPr>
          <w:rFonts w:hint="eastAsia" w:ascii="仿宋_GB2312" w:hAnsi="仿宋_GB2312" w:eastAsia="仿宋_GB2312" w:cs="仿宋_GB2312"/>
          <w:snapToGrid/>
          <w:kern w:val="0"/>
          <w:sz w:val="32"/>
          <w:szCs w:val="32"/>
          <w:lang w:val="en-US" w:eastAsia="zh-CN" w:bidi="ar-SA"/>
        </w:rPr>
        <w:t xml:space="preserve"> 本办法适用于汕尾市城区区属国有企业，包括</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_GB2312" w:hAnsi="仿宋_GB2312" w:eastAsia="仿宋_GB2312" w:cs="仿宋_GB2312"/>
          <w:snapToGrid/>
          <w:kern w:val="0"/>
          <w:sz w:val="32"/>
          <w:szCs w:val="32"/>
          <w:lang w:val="en-US" w:eastAsia="zh-CN" w:bidi="ar-SA"/>
        </w:rPr>
        <w:t>区国有资产监督管理局</w:t>
      </w:r>
      <w:r>
        <w:rPr>
          <w:rFonts w:hint="eastAsia" w:ascii="仿宋" w:hAnsi="仿宋" w:eastAsia="仿宋" w:cs="仿宋"/>
          <w:sz w:val="32"/>
          <w:szCs w:val="32"/>
          <w:lang w:eastAsia="zh-CN"/>
        </w:rPr>
        <w:t>）</w:t>
      </w:r>
      <w:r>
        <w:rPr>
          <w:rFonts w:hint="eastAsia" w:ascii="仿宋_GB2312" w:hAnsi="仿宋_GB2312" w:eastAsia="仿宋_GB2312" w:cs="仿宋_GB2312"/>
          <w:snapToGrid/>
          <w:kern w:val="0"/>
          <w:sz w:val="32"/>
          <w:szCs w:val="32"/>
          <w:lang w:val="en-US" w:eastAsia="zh-CN" w:bidi="ar-SA"/>
        </w:rPr>
        <w:t>直管企业本部及其所出资的各级独资、控股的下属企业（以下统称区属国有企业）。</w:t>
      </w:r>
    </w:p>
    <w:p w14:paraId="533F109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sectPr>
          <w:footerReference r:id="rId5" w:type="default"/>
          <w:pgSz w:w="11960" w:h="16960"/>
          <w:pgMar w:top="2098" w:right="1474" w:bottom="1984" w:left="1587" w:header="0" w:footer="1317" w:gutter="0"/>
          <w:pgNumType w:fmt="decimal" w:start="1"/>
          <w:cols w:space="720" w:num="1"/>
        </w:sectPr>
      </w:pPr>
      <w:r>
        <w:rPr>
          <w:rFonts w:hint="eastAsia" w:ascii="仿宋_GB2312" w:hAnsi="仿宋_GB2312" w:eastAsia="仿宋_GB2312" w:cs="仿宋_GB2312"/>
          <w:b/>
          <w:bCs/>
          <w:snapToGrid/>
          <w:kern w:val="0"/>
          <w:sz w:val="32"/>
          <w:szCs w:val="32"/>
          <w:lang w:val="en-US" w:eastAsia="zh-CN" w:bidi="ar-SA"/>
        </w:rPr>
        <w:t>第三条</w:t>
      </w:r>
      <w:r>
        <w:rPr>
          <w:rFonts w:hint="eastAsia" w:ascii="仿宋_GB2312" w:hAnsi="仿宋_GB2312" w:eastAsia="仿宋_GB2312" w:cs="仿宋_GB2312"/>
          <w:snapToGrid/>
          <w:kern w:val="0"/>
          <w:sz w:val="32"/>
          <w:szCs w:val="32"/>
          <w:lang w:val="en-US" w:eastAsia="zh-CN" w:bidi="ar-SA"/>
        </w:rPr>
        <w:t xml:space="preserve"> 本办法所称工资总额，是指由区属国有企业在一个会计年度内直接支付</w:t>
      </w:r>
      <w:r>
        <w:rPr>
          <w:rFonts w:hint="eastAsia" w:ascii="仿宋_GB2312" w:hAnsi="仿宋_GB2312" w:eastAsia="仿宋_GB2312" w:cs="仿宋_GB2312"/>
          <w:snapToGrid/>
          <w:color w:val="auto"/>
          <w:kern w:val="0"/>
          <w:sz w:val="32"/>
          <w:szCs w:val="32"/>
          <w:lang w:val="en-US" w:eastAsia="zh-CN" w:bidi="ar-SA"/>
        </w:rPr>
        <w:t>给与</w:t>
      </w:r>
      <w:r>
        <w:rPr>
          <w:rFonts w:hint="eastAsia" w:ascii="仿宋_GB2312" w:hAnsi="仿宋_GB2312" w:eastAsia="仿宋_GB2312" w:cs="仿宋_GB2312"/>
          <w:snapToGrid/>
          <w:kern w:val="0"/>
          <w:sz w:val="32"/>
          <w:szCs w:val="32"/>
          <w:lang w:val="en-US" w:eastAsia="zh-CN" w:bidi="ar-SA"/>
        </w:rPr>
        <w:t>本企业建立劳动关系的全部职工的劳动报酬总额，包括工资、奖金、津贴、补贴、加班加点工资、特殊情况下支付的工资。包括区属国有企业负责人薪酬和职工工资，其中区属国有企业负责人薪酬应按照</w:t>
      </w:r>
      <w:bookmarkStart w:id="1" w:name="OLE_LINK31"/>
      <w:r>
        <w:rPr>
          <w:rFonts w:hint="eastAsia" w:ascii="仿宋_GB2312" w:hAnsi="仿宋_GB2312" w:eastAsia="仿宋_GB2312" w:cs="仿宋_GB2312"/>
          <w:snapToGrid/>
          <w:kern w:val="0"/>
          <w:sz w:val="32"/>
          <w:szCs w:val="32"/>
          <w:lang w:val="en-US" w:eastAsia="zh-CN" w:bidi="ar-SA"/>
        </w:rPr>
        <w:t>《汕尾市城区区属国有企业负责人高质量发展经营业绩考核激励暂行办法》</w:t>
      </w:r>
      <w:bookmarkEnd w:id="1"/>
      <w:r>
        <w:rPr>
          <w:rFonts w:hint="eastAsia" w:ascii="仿宋_GB2312" w:hAnsi="仿宋_GB2312" w:eastAsia="仿宋_GB2312" w:cs="仿宋_GB2312"/>
          <w:snapToGrid/>
          <w:kern w:val="0"/>
          <w:sz w:val="32"/>
          <w:szCs w:val="32"/>
          <w:lang w:val="en-US" w:eastAsia="zh-CN" w:bidi="ar-SA"/>
        </w:rPr>
        <w:t>要求进行管理。</w:t>
      </w:r>
    </w:p>
    <w:p w14:paraId="79F24BF0">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第四条</w:t>
      </w:r>
      <w:r>
        <w:rPr>
          <w:rFonts w:hint="eastAsia" w:ascii="仿宋_GB2312" w:hAnsi="仿宋_GB2312" w:eastAsia="仿宋_GB2312" w:cs="仿宋_GB2312"/>
          <w:snapToGrid/>
          <w:kern w:val="0"/>
          <w:sz w:val="32"/>
          <w:szCs w:val="32"/>
          <w:lang w:val="en-US" w:eastAsia="zh-CN" w:bidi="ar-SA"/>
        </w:rPr>
        <w:t xml:space="preserve"> 区属国有企业工资总额实行预算管理。企业每年度围绕发展战略，按照国家工资收入分配宏观政策要求，依据企业生产经营业绩目标、经济效益情况和人力资源管理要求，合理预测、科学决策，对工资总额的确定、发放和职工工资水平的调整作出预算安排，并且进行有效控制和监督。</w:t>
      </w:r>
    </w:p>
    <w:p w14:paraId="4F0A880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第五条</w:t>
      </w:r>
      <w:r>
        <w:rPr>
          <w:rFonts w:hint="eastAsia" w:ascii="仿宋_GB2312" w:hAnsi="仿宋_GB2312" w:eastAsia="仿宋_GB2312" w:cs="仿宋_GB2312"/>
          <w:snapToGrid/>
          <w:kern w:val="0"/>
          <w:sz w:val="32"/>
          <w:szCs w:val="32"/>
          <w:lang w:val="en-US" w:eastAsia="zh-CN" w:bidi="ar-SA"/>
        </w:rPr>
        <w:t xml:space="preserve"> 区属国有企业工资总额管理应遵循以下原则：</w:t>
      </w:r>
    </w:p>
    <w:p w14:paraId="2F13B6F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坚持市场化改革方向。以市场化薪酬为参照，充分发挥市场机制对收入分配的作用，充分体现对人力资本价值的尊重，充分调动企业全员的积极性，激发干事创业的热情和智慧，促进国有企业持续健康发展。</w:t>
      </w:r>
    </w:p>
    <w:p w14:paraId="746D9C4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坚持效益贡献优先。进一步健全区属国有企业职工工资与实现效益贡献、劳动生产率同向联动的机制，突出工效联动的刚性要求，坚决打破“大锅饭”、不搞收入分配上的论资排辈，以岗位贡献定薪酬，切实实现职工工资能增能减，真正做到“效益增、薪酬增，效益减、薪酬减”，促进企业实现高质量发展。</w:t>
      </w:r>
    </w:p>
    <w:p w14:paraId="699F78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坚持分级管理。完善出资人依法调控与区属国有企业自主分配相结合的工资总额分级管理体制，区财政局（区国资局）以管资本为主，结合政府职能部门有关要求调控企业收入分配总体水平，企业依法依规自主决定内部薪酬分配。</w:t>
      </w:r>
    </w:p>
    <w:p w14:paraId="36FBDD2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坚持分类管理。根据区属国有企业功能定位、行业特点并结合法人治理结构完善程度，出资人对企业工资总额分类实行差异化的管理方式和决定机制，引导企业充分发挥国有企业功能担当、积极履行社会责任并实现国有资产保值。</w:t>
      </w:r>
    </w:p>
    <w:p w14:paraId="512B7EC1">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第二章  工资总额管理</w:t>
      </w:r>
    </w:p>
    <w:p w14:paraId="6791FCB9">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第六条</w:t>
      </w:r>
      <w:r>
        <w:rPr>
          <w:rFonts w:hint="eastAsia" w:ascii="仿宋_GB2312" w:hAnsi="仿宋_GB2312" w:eastAsia="仿宋_GB2312" w:cs="仿宋_GB2312"/>
          <w:snapToGrid/>
          <w:kern w:val="0"/>
          <w:sz w:val="32"/>
          <w:szCs w:val="32"/>
          <w:lang w:val="en-US" w:eastAsia="zh-CN" w:bidi="ar-SA"/>
        </w:rPr>
        <w:t xml:space="preserve"> 区财政局（区国资局）依据有关法律法规履行出资人职责，制定区属国有企业工资总额管理制度，组织区属国有企业工资总额预算编制、申报、执行以及内部监督、评价工作，并对区属国有企业工资总额预算执行情况实行动态监测和执行结果的清算，同时定期组织人工成本检查。</w:t>
      </w:r>
    </w:p>
    <w:p w14:paraId="7498655C">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第七条</w:t>
      </w:r>
      <w:r>
        <w:rPr>
          <w:rFonts w:hint="eastAsia" w:ascii="仿宋_GB2312" w:hAnsi="仿宋_GB2312" w:eastAsia="仿宋_GB2312" w:cs="仿宋_GB2312"/>
          <w:snapToGrid/>
          <w:kern w:val="0"/>
          <w:sz w:val="32"/>
          <w:szCs w:val="32"/>
          <w:lang w:val="en-US" w:eastAsia="zh-CN" w:bidi="ar-SA"/>
        </w:rPr>
        <w:t xml:space="preserve"> 区财政局（区国资局）直管企业根据工资总额管理制度和调控要求，结合实际情况制定本企业工资总额管理办法，报区财政局（区国资局）备案后，科学编制年度工资总额预算方案并组织实施。区属国有企业应建立工资总额管理工作制度和组织体系，指导下属企业科学编制工资总额预算方案，明确下属企业工资与效益联动机制，逐级落实预算执行责任，建立预算执行情况动态监测机制，确保工资总额与效益联动。</w:t>
      </w:r>
    </w:p>
    <w:p w14:paraId="2DC58BBB">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第八条</w:t>
      </w:r>
      <w:r>
        <w:rPr>
          <w:rFonts w:hint="eastAsia" w:ascii="仿宋_GB2312" w:hAnsi="仿宋_GB2312" w:eastAsia="仿宋_GB2312" w:cs="仿宋_GB2312"/>
          <w:snapToGrid/>
          <w:kern w:val="0"/>
          <w:sz w:val="32"/>
          <w:szCs w:val="32"/>
          <w:lang w:val="en-US" w:eastAsia="zh-CN" w:bidi="ar-SA"/>
        </w:rPr>
        <w:t xml:space="preserve"> 区属国有企业按照国家及省市工资收入分配宏观调控政策要求，根据企业发展战略和薪酬策略、年度生产经营目标和实现效益，综合考虑劳动生产率提高和人工成本投入产出率、职工工资水平市场对标等情况，结合人力资源社会保障部门发布的工资指导线，合理编制年度工资总额预算。</w:t>
      </w:r>
    </w:p>
    <w:p w14:paraId="0C9C9A9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第九条</w:t>
      </w:r>
      <w:r>
        <w:rPr>
          <w:rFonts w:hint="eastAsia" w:ascii="仿宋_GB2312" w:hAnsi="仿宋_GB2312" w:eastAsia="仿宋_GB2312" w:cs="仿宋_GB2312"/>
          <w:snapToGrid/>
          <w:kern w:val="0"/>
          <w:sz w:val="32"/>
          <w:szCs w:val="32"/>
          <w:lang w:val="en-US" w:eastAsia="zh-CN" w:bidi="ar-SA"/>
        </w:rPr>
        <w:t xml:space="preserve"> 根据区属国有企业功能性质定位、行业特点并结合法人治理结构完善程度，工资总额预算实行备案制或核准制管理。</w:t>
      </w:r>
    </w:p>
    <w:p w14:paraId="56DE542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市场竞争类企业和金控投资运营类企业，工资总额预算原则上实行备案制。其中，未建立规范董事会、法人治理结构不完善、内控机制不健全、近三年工资分配存在违规违纪行为的国有企业，经区财政局（区国资局）认定，其工资总额预算实行核准制管理。</w:t>
      </w:r>
    </w:p>
    <w:p w14:paraId="575ADF1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公益基础类企业，工资总额预算原则上实行核准制管理。其中，已建立规范董事会、法人治理结构完善、内控机制健全、近三年企业工资分配未发生违规违纪行为的国有企业，经区财政局（区国资局）同意，其工资总额预算可以实行备案制管理。</w:t>
      </w:r>
    </w:p>
    <w:p w14:paraId="02E197F3">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基于区财政局（区国资局）直管企业的实际情况，工资总额预算管理统一实行核准制，待企业条件成熟后可探索实行备案制。</w:t>
      </w:r>
    </w:p>
    <w:p w14:paraId="6C9EFE02">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第十条</w:t>
      </w:r>
      <w:r>
        <w:rPr>
          <w:rFonts w:hint="eastAsia" w:ascii="仿宋_GB2312" w:hAnsi="仿宋_GB2312" w:eastAsia="仿宋_GB2312" w:cs="仿宋_GB2312"/>
          <w:snapToGrid/>
          <w:kern w:val="0"/>
          <w:sz w:val="32"/>
          <w:szCs w:val="32"/>
          <w:lang w:val="en-US" w:eastAsia="zh-CN" w:bidi="ar-SA"/>
        </w:rPr>
        <w:t xml:space="preserve"> </w:t>
      </w:r>
      <w:bookmarkStart w:id="2" w:name="OLE_LINK2"/>
      <w:r>
        <w:rPr>
          <w:rFonts w:hint="eastAsia" w:ascii="仿宋_GB2312" w:hAnsi="仿宋_GB2312" w:eastAsia="仿宋_GB2312" w:cs="仿宋_GB2312"/>
          <w:snapToGrid/>
          <w:kern w:val="0"/>
          <w:sz w:val="32"/>
          <w:szCs w:val="32"/>
          <w:lang w:val="en-US" w:eastAsia="zh-CN" w:bidi="ar-SA"/>
        </w:rPr>
        <w:t>区属国有企业</w:t>
      </w:r>
      <w:bookmarkEnd w:id="2"/>
      <w:r>
        <w:rPr>
          <w:rFonts w:hint="eastAsia" w:ascii="仿宋_GB2312" w:hAnsi="仿宋_GB2312" w:eastAsia="仿宋_GB2312" w:cs="仿宋_GB2312"/>
          <w:snapToGrid/>
          <w:kern w:val="0"/>
          <w:sz w:val="32"/>
          <w:szCs w:val="32"/>
          <w:lang w:val="en-US" w:eastAsia="zh-CN" w:bidi="ar-SA"/>
        </w:rPr>
        <w:t>工资总额由基数工资、效益工资和专项工资构成。工资总额基准数分为基数工资基准数和效益工资基准数，两者比例根据区属国有企业分类确定，市场竞争类和金控投资运营类企业的比例在3:7到5:5之间，公益基础类企业比例在5:5到8:2之间，具体比例由企业自主申报，</w:t>
      </w:r>
      <w:bookmarkStart w:id="3" w:name="OLE_LINK3"/>
      <w:r>
        <w:rPr>
          <w:rFonts w:hint="eastAsia" w:ascii="仿宋_GB2312" w:hAnsi="仿宋_GB2312" w:eastAsia="仿宋_GB2312" w:cs="仿宋_GB2312"/>
          <w:snapToGrid/>
          <w:kern w:val="0"/>
          <w:sz w:val="32"/>
          <w:szCs w:val="32"/>
          <w:lang w:val="en-US" w:eastAsia="zh-CN" w:bidi="ar-SA"/>
        </w:rPr>
        <w:t>区财政局（区国资局）</w:t>
      </w:r>
      <w:bookmarkEnd w:id="3"/>
      <w:r>
        <w:rPr>
          <w:rFonts w:hint="eastAsia" w:ascii="仿宋_GB2312" w:hAnsi="仿宋_GB2312" w:eastAsia="仿宋_GB2312" w:cs="仿宋_GB2312"/>
          <w:snapToGrid/>
          <w:kern w:val="0"/>
          <w:sz w:val="32"/>
          <w:szCs w:val="32"/>
          <w:lang w:val="en-US" w:eastAsia="zh-CN" w:bidi="ar-SA"/>
        </w:rPr>
        <w:t>审核确定，一般3年内保持不变。</w:t>
      </w:r>
    </w:p>
    <w:p w14:paraId="270CA10F">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第十一条</w:t>
      </w:r>
      <w:r>
        <w:rPr>
          <w:rFonts w:hint="eastAsia" w:ascii="仿宋_GB2312" w:hAnsi="仿宋_GB2312" w:eastAsia="仿宋_GB2312" w:cs="仿宋_GB2312"/>
          <w:snapToGrid/>
          <w:kern w:val="0"/>
          <w:sz w:val="32"/>
          <w:szCs w:val="32"/>
          <w:lang w:val="en-US" w:eastAsia="zh-CN" w:bidi="ar-SA"/>
        </w:rPr>
        <w:t xml:space="preserve"> 区属国有企业工资总额基数确定机制根据企业工资总额预算管理实施情况分类设置。</w:t>
      </w:r>
    </w:p>
    <w:p w14:paraId="50B12D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（一）已实行工资总额预算管理的</w:t>
      </w:r>
      <w:bookmarkStart w:id="4" w:name="OLE_LINK4"/>
      <w:r>
        <w:rPr>
          <w:rFonts w:hint="eastAsia" w:ascii="仿宋_GB2312" w:hAnsi="仿宋_GB2312" w:eastAsia="仿宋_GB2312" w:cs="仿宋_GB2312"/>
          <w:snapToGrid/>
          <w:kern w:val="0"/>
          <w:sz w:val="32"/>
          <w:szCs w:val="32"/>
          <w:lang w:val="en-US" w:eastAsia="zh-CN" w:bidi="ar-SA"/>
        </w:rPr>
        <w:t>区属国有企业</w:t>
      </w:r>
      <w:bookmarkEnd w:id="4"/>
      <w:r>
        <w:rPr>
          <w:rFonts w:hint="eastAsia" w:ascii="仿宋_GB2312" w:hAnsi="仿宋_GB2312" w:eastAsia="仿宋_GB2312" w:cs="仿宋_GB2312"/>
          <w:snapToGrid/>
          <w:kern w:val="0"/>
          <w:sz w:val="32"/>
          <w:szCs w:val="32"/>
          <w:lang w:val="en-US" w:eastAsia="zh-CN" w:bidi="ar-SA"/>
        </w:rPr>
        <w:t>，工资总额基数以区财政局（区国资局）确定的上年度工资总额为基数。</w:t>
      </w:r>
    </w:p>
    <w:p w14:paraId="4D6A71B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（二）未实行工资总额预算管理的区属国有企业，初始工资总额基数原则上以上年度企业工资总额为基数，也可以前三年工资总额的平均数为基数。</w:t>
      </w:r>
    </w:p>
    <w:p w14:paraId="66C6279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（三）新组建的区属国有企业按同级或同类国有企业职工平均工资和现有职工人数合理确定工资总额基数。</w:t>
      </w:r>
    </w:p>
    <w:p w14:paraId="640367E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第十二条</w:t>
      </w:r>
      <w:r>
        <w:rPr>
          <w:rFonts w:hint="eastAsia" w:ascii="仿宋_GB2312" w:hAnsi="仿宋_GB2312" w:eastAsia="仿宋_GB2312" w:cs="仿宋_GB2312"/>
          <w:snapToGrid/>
          <w:kern w:val="0"/>
          <w:sz w:val="32"/>
          <w:szCs w:val="32"/>
          <w:lang w:val="en-US" w:eastAsia="zh-CN" w:bidi="ar-SA"/>
        </w:rPr>
        <w:t xml:space="preserve"> 工效联动机制包括基数工资确定机制和效益工资确定机制。工效联动机制一经确定，在三年内应当保持稳定，以保证不同年度间的可比性。</w:t>
      </w:r>
    </w:p>
    <w:p w14:paraId="3265A19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（一）基数工资确定机制参照居民消费价格指数上涨水平，综合考虑企业效益状况及政策性任务完成情况确定。</w:t>
      </w:r>
    </w:p>
    <w:p w14:paraId="7BF4F6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效益工资确定机制采取效益工资增减与企业经济效益增减同向挂钩，综合考虑人工成本投入产出情况和职工实际工资水平等因素确定，其中，与工资总额联动的主要经济效益指标和辅助联动效率指标数量一般不超过4个，且单项指标的权重介于30%（含）至70%（含）之间，并根据重要程度合理设定指标权重，报</w:t>
      </w:r>
      <w:bookmarkStart w:id="5" w:name="OLE_LINK5"/>
      <w:r>
        <w:rPr>
          <w:rFonts w:hint="eastAsia" w:ascii="仿宋_GB2312" w:hAnsi="仿宋_GB2312" w:eastAsia="仿宋_GB2312" w:cs="仿宋_GB2312"/>
          <w:snapToGrid/>
          <w:kern w:val="0"/>
          <w:sz w:val="32"/>
          <w:szCs w:val="32"/>
          <w:lang w:val="en-US" w:eastAsia="zh-CN" w:bidi="ar-SA"/>
        </w:rPr>
        <w:t>区属国有企业</w:t>
      </w:r>
      <w:bookmarkEnd w:id="5"/>
      <w:r>
        <w:rPr>
          <w:rFonts w:hint="eastAsia" w:ascii="仿宋_GB2312" w:hAnsi="仿宋_GB2312" w:eastAsia="仿宋_GB2312" w:cs="仿宋_GB2312"/>
          <w:snapToGrid/>
          <w:kern w:val="0"/>
          <w:sz w:val="32"/>
          <w:szCs w:val="32"/>
          <w:lang w:val="en-US" w:eastAsia="zh-CN" w:bidi="ar-SA"/>
        </w:rPr>
        <w:t>审批后确定。</w:t>
      </w:r>
    </w:p>
    <w:p w14:paraId="578C358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市场竞争类企业：即主业处于充分竞争行业和领域的国有企业，经济效益指标主要选取利润总额（或净利润）、经济增加值、净资产收益率等，辅助联动指标主要选取劳动生产率、人工成本利润率等。</w:t>
      </w:r>
    </w:p>
    <w:p w14:paraId="6309F8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金控投资运营类企业：经济效益指标主要选取利润总额（或净利润）、任务完成率等，辅助联动指标主要选取人工成本利润率、风险控制类指标等。</w:t>
      </w:r>
    </w:p>
    <w:p w14:paraId="6B268A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公益基础类企业：即主业以保障民生、服务社会、提供公共产品和服务为主的国有企业，经济效益指标主要选取营业收入、利润总额（或净利润）、任务完成率等，辅助联动指标主要选取人事费用率、成本控制率等。</w:t>
      </w:r>
    </w:p>
    <w:p w14:paraId="21723D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（三）新组建企业设置过渡期，一般为三年，在过渡期内，其工资总额与企业负责人经营业绩考核结果联动。过渡期结束之后，采取本条（一）、（二）点规定的工资总额联动机制。</w:t>
      </w:r>
    </w:p>
    <w:p w14:paraId="4A36033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第十三条</w:t>
      </w:r>
      <w:r>
        <w:rPr>
          <w:rFonts w:hint="eastAsia" w:ascii="仿宋_GB2312" w:hAnsi="仿宋_GB2312" w:eastAsia="仿宋_GB2312" w:cs="仿宋_GB2312"/>
          <w:snapToGrid/>
          <w:kern w:val="0"/>
          <w:sz w:val="32"/>
          <w:szCs w:val="32"/>
          <w:lang w:val="en-US" w:eastAsia="zh-CN" w:bidi="ar-SA"/>
        </w:rPr>
        <w:t xml:space="preserve"> 按照工资总额与效益同向联动原则，</w:t>
      </w:r>
      <w:bookmarkStart w:id="6" w:name="OLE_LINK7"/>
      <w:r>
        <w:rPr>
          <w:rFonts w:hint="eastAsia" w:ascii="仿宋_GB2312" w:hAnsi="仿宋_GB2312" w:eastAsia="仿宋_GB2312" w:cs="仿宋_GB2312"/>
          <w:snapToGrid/>
          <w:kern w:val="0"/>
          <w:sz w:val="32"/>
          <w:szCs w:val="32"/>
          <w:lang w:val="en-US" w:eastAsia="zh-CN" w:bidi="ar-SA"/>
        </w:rPr>
        <w:t>区财政局（区国资局）</w:t>
      </w:r>
      <w:bookmarkEnd w:id="6"/>
      <w:r>
        <w:rPr>
          <w:rFonts w:hint="eastAsia" w:ascii="仿宋_GB2312" w:hAnsi="仿宋_GB2312" w:eastAsia="仿宋_GB2312" w:cs="仿宋_GB2312"/>
          <w:snapToGrid/>
          <w:kern w:val="0"/>
          <w:sz w:val="32"/>
          <w:szCs w:val="32"/>
          <w:lang w:val="en-US" w:eastAsia="zh-CN" w:bidi="ar-SA"/>
        </w:rPr>
        <w:t>根据</w:t>
      </w:r>
      <w:bookmarkStart w:id="7" w:name="OLE_LINK6"/>
      <w:r>
        <w:rPr>
          <w:rFonts w:hint="eastAsia" w:ascii="仿宋_GB2312" w:hAnsi="仿宋_GB2312" w:eastAsia="仿宋_GB2312" w:cs="仿宋_GB2312"/>
          <w:snapToGrid/>
          <w:kern w:val="0"/>
          <w:sz w:val="32"/>
          <w:szCs w:val="32"/>
          <w:lang w:val="en-US" w:eastAsia="zh-CN" w:bidi="ar-SA"/>
        </w:rPr>
        <w:t>区属国有企业</w:t>
      </w:r>
      <w:bookmarkEnd w:id="7"/>
      <w:r>
        <w:rPr>
          <w:rFonts w:hint="eastAsia" w:ascii="仿宋_GB2312" w:hAnsi="仿宋_GB2312" w:eastAsia="仿宋_GB2312" w:cs="仿宋_GB2312"/>
          <w:snapToGrid/>
          <w:kern w:val="0"/>
          <w:sz w:val="32"/>
          <w:szCs w:val="32"/>
          <w:lang w:val="en-US" w:eastAsia="zh-CN" w:bidi="ar-SA"/>
        </w:rPr>
        <w:t>的实际情况，建立健全工资总额与经济效益、劳动生产率等联动指标挂钩的工资决定和正常增长机制，合理确定企业年度工资总额调整幅度。</w:t>
      </w:r>
    </w:p>
    <w:p w14:paraId="2566872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FF"/>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区属国有企业经济效益增长的，当年工资总额增长幅度可在不超过经济效益增长幅度范围内确定。其中，当年劳动生产率未提高、上年人工成本投入产出率低于全国行业平均水平或者上年职工平均工资达到全国城镇单位就业人员平均工资3倍及以上的，当年工资总额增长幅度应低于同期经济效益增长幅度，且职工平均工资增长幅度不得超过人力资源社会保障部门发布的工资指导线基准线；公益基础类国有企业上年职工平均工资达到全国城镇单位就业人员平均工资2.5倍及以上的，当年工资总额增长幅度应低于同期经济效益增长幅度，且职工平均工资增长幅度不得超过人力资源社会保障部门发布的工资指导线基准线。</w:t>
      </w:r>
    </w:p>
    <w:p w14:paraId="258098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bookmarkStart w:id="8" w:name="OLE_LINK8"/>
      <w:r>
        <w:rPr>
          <w:rFonts w:hint="eastAsia" w:ascii="仿宋_GB2312" w:hAnsi="仿宋_GB2312" w:eastAsia="仿宋_GB2312" w:cs="仿宋_GB2312"/>
          <w:snapToGrid/>
          <w:kern w:val="0"/>
          <w:sz w:val="32"/>
          <w:szCs w:val="32"/>
          <w:lang w:val="en-US" w:eastAsia="zh-CN" w:bidi="ar-SA"/>
        </w:rPr>
        <w:t>区属国有企业</w:t>
      </w:r>
      <w:bookmarkEnd w:id="8"/>
      <w:r>
        <w:rPr>
          <w:rFonts w:hint="eastAsia" w:ascii="仿宋_GB2312" w:hAnsi="仿宋_GB2312" w:eastAsia="仿宋_GB2312" w:cs="仿宋_GB2312"/>
          <w:snapToGrid/>
          <w:kern w:val="0"/>
          <w:sz w:val="32"/>
          <w:szCs w:val="32"/>
          <w:lang w:val="en-US" w:eastAsia="zh-CN" w:bidi="ar-SA"/>
        </w:rPr>
        <w:t>经济效益增长幅度较大的，由</w:t>
      </w:r>
      <w:bookmarkStart w:id="9" w:name="OLE_LINK9"/>
      <w:r>
        <w:rPr>
          <w:rFonts w:hint="eastAsia" w:ascii="仿宋_GB2312" w:hAnsi="仿宋_GB2312" w:eastAsia="仿宋_GB2312" w:cs="仿宋_GB2312"/>
          <w:snapToGrid/>
          <w:kern w:val="0"/>
          <w:sz w:val="32"/>
          <w:szCs w:val="32"/>
          <w:lang w:val="en-US" w:eastAsia="zh-CN" w:bidi="ar-SA"/>
        </w:rPr>
        <w:t>区财政局（区国资局）</w:t>
      </w:r>
      <w:bookmarkEnd w:id="9"/>
      <w:r>
        <w:rPr>
          <w:rFonts w:hint="eastAsia" w:ascii="仿宋_GB2312" w:hAnsi="仿宋_GB2312" w:eastAsia="仿宋_GB2312" w:cs="仿宋_GB2312"/>
          <w:snapToGrid/>
          <w:kern w:val="0"/>
          <w:sz w:val="32"/>
          <w:szCs w:val="32"/>
          <w:lang w:val="en-US" w:eastAsia="zh-CN" w:bidi="ar-SA"/>
        </w:rPr>
        <w:t>根据区属国有企业实际情况核定，参照市发布的工资指导线警戒线，原则上工资总额增长幅度最高不超过工资指导线警戒线。</w:t>
      </w:r>
    </w:p>
    <w:p w14:paraId="33BF93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区属国有企业经济效益下降的，除承担政府指令性任务或受政策调整等非经营性因素影响外，当年工资总额原则上相应下降。其中，当年劳动生产率未下降或者上年企业职工平均工资未达到全国城镇单位就业人员平均工资80%的，当年工资总额可适当</w:t>
      </w:r>
      <w:r>
        <w:rPr>
          <w:rFonts w:hint="eastAsia" w:ascii="仿宋_GB2312" w:hAnsi="仿宋_GB2312" w:eastAsia="仿宋_GB2312" w:cs="仿宋_GB2312"/>
          <w:snapToGrid/>
          <w:color w:val="auto"/>
          <w:kern w:val="0"/>
          <w:sz w:val="32"/>
          <w:szCs w:val="32"/>
          <w:lang w:val="en-US" w:eastAsia="zh-CN" w:bidi="ar-SA"/>
        </w:rPr>
        <w:t>少</w:t>
      </w:r>
      <w:r>
        <w:rPr>
          <w:rFonts w:hint="eastAsia" w:ascii="仿宋_GB2312" w:hAnsi="仿宋_GB2312" w:eastAsia="仿宋_GB2312" w:cs="仿宋_GB2312"/>
          <w:snapToGrid/>
          <w:kern w:val="0"/>
          <w:sz w:val="32"/>
          <w:szCs w:val="32"/>
          <w:lang w:val="en-US" w:eastAsia="zh-CN" w:bidi="ar-SA"/>
        </w:rPr>
        <w:t>降。</w:t>
      </w:r>
    </w:p>
    <w:p w14:paraId="7361D98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剔除承担政府指令性任务或受政策调整等非经营性因素影响后，区属国有企业未实现国有资产保值增值的，工资总额不得增长，或者适当下降。其中，对于亏损企业实现减亏的，当年工资总额可视减亏情况适当增长；企业对比上年增亏的，原则上工资总额不得增长。</w:t>
      </w:r>
    </w:p>
    <w:p w14:paraId="6A74B87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区属国有企业合并财务报表口径未发生变化，原则上增人不增工资总额，减人不减工资总额，但企业发生兼并重组、发展战略性产业或完成政府任务的新设企业或机构和新增项目等情况而规模性增加或者减少人员的，可以合理增加或者减少工资总额。</w:t>
      </w:r>
    </w:p>
    <w:p w14:paraId="0EE1061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五）鼓励和支持区属国有企业吸引人才、留住人才创业创新，对引进和培养紧缺急需高层次、高技能人才成效突出的区属国有企业，以及对承担重大专项任务、重大科技创新项目等特殊事项的区属国有企业，当年工资总额可适当多增，具体由</w:t>
      </w:r>
      <w:bookmarkStart w:id="10" w:name="OLE_LINK11"/>
      <w:r>
        <w:rPr>
          <w:rFonts w:hint="eastAsia" w:ascii="仿宋_GB2312" w:hAnsi="仿宋_GB2312" w:eastAsia="仿宋_GB2312" w:cs="仿宋_GB2312"/>
          <w:snapToGrid/>
          <w:kern w:val="0"/>
          <w:sz w:val="32"/>
          <w:szCs w:val="32"/>
          <w:lang w:val="en-US" w:eastAsia="zh-CN" w:bidi="ar-SA"/>
        </w:rPr>
        <w:t>区财政局（区国资局）</w:t>
      </w:r>
      <w:bookmarkEnd w:id="10"/>
      <w:r>
        <w:rPr>
          <w:rFonts w:hint="eastAsia" w:ascii="仿宋_GB2312" w:hAnsi="仿宋_GB2312" w:eastAsia="仿宋_GB2312" w:cs="仿宋_GB2312"/>
          <w:snapToGrid/>
          <w:kern w:val="0"/>
          <w:sz w:val="32"/>
          <w:szCs w:val="32"/>
          <w:lang w:val="en-US" w:eastAsia="zh-CN" w:bidi="ar-SA"/>
        </w:rPr>
        <w:t>根据</w:t>
      </w:r>
      <w:bookmarkStart w:id="11" w:name="OLE_LINK10"/>
      <w:r>
        <w:rPr>
          <w:rFonts w:hint="eastAsia" w:ascii="仿宋_GB2312" w:hAnsi="仿宋_GB2312" w:eastAsia="仿宋_GB2312" w:cs="仿宋_GB2312"/>
          <w:snapToGrid/>
          <w:kern w:val="0"/>
          <w:sz w:val="32"/>
          <w:szCs w:val="32"/>
          <w:lang w:val="en-US" w:eastAsia="zh-CN" w:bidi="ar-SA"/>
        </w:rPr>
        <w:t>区属国有企业</w:t>
      </w:r>
      <w:bookmarkEnd w:id="11"/>
      <w:r>
        <w:rPr>
          <w:rFonts w:hint="eastAsia" w:ascii="仿宋_GB2312" w:hAnsi="仿宋_GB2312" w:eastAsia="仿宋_GB2312" w:cs="仿宋_GB2312"/>
          <w:snapToGrid/>
          <w:kern w:val="0"/>
          <w:sz w:val="32"/>
          <w:szCs w:val="32"/>
          <w:lang w:val="en-US" w:eastAsia="zh-CN" w:bidi="ar-SA"/>
        </w:rPr>
        <w:t>实际情况合理确定。</w:t>
      </w:r>
    </w:p>
    <w:p w14:paraId="63D3A5D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第十四条</w:t>
      </w:r>
      <w:r>
        <w:rPr>
          <w:rFonts w:hint="eastAsia" w:ascii="仿宋_GB2312" w:hAnsi="仿宋_GB2312" w:eastAsia="仿宋_GB2312" w:cs="仿宋_GB2312"/>
          <w:snapToGrid/>
          <w:kern w:val="0"/>
          <w:sz w:val="32"/>
          <w:szCs w:val="32"/>
          <w:lang w:val="en-US" w:eastAsia="zh-CN" w:bidi="ar-SA"/>
        </w:rPr>
        <w:t xml:space="preserve"> </w:t>
      </w:r>
      <w:bookmarkStart w:id="12" w:name="OLE_LINK12"/>
      <w:r>
        <w:rPr>
          <w:rFonts w:hint="eastAsia" w:ascii="仿宋_GB2312" w:hAnsi="仿宋_GB2312" w:eastAsia="仿宋_GB2312" w:cs="仿宋_GB2312"/>
          <w:snapToGrid/>
          <w:kern w:val="0"/>
          <w:sz w:val="32"/>
          <w:szCs w:val="32"/>
          <w:lang w:val="en-US" w:eastAsia="zh-CN" w:bidi="ar-SA"/>
        </w:rPr>
        <w:t>区属国有企业</w:t>
      </w:r>
      <w:bookmarkEnd w:id="12"/>
      <w:r>
        <w:rPr>
          <w:rFonts w:hint="eastAsia" w:ascii="仿宋_GB2312" w:hAnsi="仿宋_GB2312" w:eastAsia="仿宋_GB2312" w:cs="仿宋_GB2312"/>
          <w:snapToGrid/>
          <w:kern w:val="0"/>
          <w:sz w:val="32"/>
          <w:szCs w:val="32"/>
          <w:lang w:val="en-US" w:eastAsia="zh-CN" w:bidi="ar-SA"/>
        </w:rPr>
        <w:t>有以下事项的，经区财政局（区国资局）合理认定后，可作为专项工资纳入工资总额管理，但不计入工资总额基数。</w:t>
      </w:r>
    </w:p>
    <w:p w14:paraId="2ABCDD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（一）引进、培育和留住紧缺急需高层次、高技能人才、市场化选聘高级管理人员的工资，由董事会按照市场化薪酬分配机制拟定，报区财政局（区国资局）批准。</w:t>
      </w:r>
    </w:p>
    <w:p w14:paraId="58607A3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（二）企业按规定对自主创新做出重大贡献的团队、杰出创新人才、科技成果转化有重要贡献人员的表彰奖励。</w:t>
      </w:r>
    </w:p>
    <w:p w14:paraId="69CE280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（三）经区财政局（区国资局）批准实施中长期激励的企业，以现金形式兑现的中长期激励额度需纳入当年工资总额的部分。</w:t>
      </w:r>
    </w:p>
    <w:p w14:paraId="7734C81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（四）其他经</w:t>
      </w:r>
      <w:bookmarkStart w:id="13" w:name="OLE_LINK13"/>
      <w:r>
        <w:rPr>
          <w:rFonts w:hint="eastAsia" w:ascii="仿宋_GB2312" w:hAnsi="仿宋_GB2312" w:eastAsia="仿宋_GB2312" w:cs="仿宋_GB2312"/>
          <w:snapToGrid/>
          <w:kern w:val="0"/>
          <w:sz w:val="32"/>
          <w:szCs w:val="32"/>
          <w:lang w:val="en-US" w:eastAsia="zh-CN" w:bidi="ar-SA"/>
        </w:rPr>
        <w:t>区财政局（区国资局）</w:t>
      </w:r>
      <w:bookmarkEnd w:id="13"/>
      <w:r>
        <w:rPr>
          <w:rFonts w:hint="eastAsia" w:ascii="仿宋_GB2312" w:hAnsi="仿宋_GB2312" w:eastAsia="仿宋_GB2312" w:cs="仿宋_GB2312"/>
          <w:snapToGrid/>
          <w:kern w:val="0"/>
          <w:sz w:val="32"/>
          <w:szCs w:val="32"/>
          <w:lang w:val="en-US" w:eastAsia="zh-CN" w:bidi="ar-SA"/>
        </w:rPr>
        <w:t>批准的事项。</w:t>
      </w:r>
    </w:p>
    <w:p w14:paraId="79102739">
      <w:pPr>
        <w:keepNext w:val="0"/>
        <w:keepLines w:val="0"/>
        <w:pageBreakBefore w:val="0"/>
        <w:widowControl/>
        <w:kinsoku/>
        <w:wordWrap/>
        <w:overflowPunct/>
        <w:topLinePunct w:val="0"/>
        <w:bidi w:val="0"/>
        <w:spacing w:line="313" w:lineRule="auto"/>
        <w:rPr>
          <w:rFonts w:ascii="Arial"/>
          <w:sz w:val="21"/>
        </w:rPr>
      </w:pPr>
    </w:p>
    <w:p w14:paraId="5287374A">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ascii="Arial"/>
          <w:sz w:val="21"/>
        </w:rPr>
      </w:pPr>
      <w:r>
        <w:rPr>
          <w:rFonts w:hint="eastAsia" w:ascii="宋体" w:hAnsi="宋体" w:eastAsia="宋体" w:cs="宋体"/>
          <w:b/>
          <w:bCs/>
          <w:snapToGrid/>
          <w:kern w:val="0"/>
          <w:sz w:val="32"/>
          <w:szCs w:val="32"/>
          <w:lang w:val="en-US" w:eastAsia="zh-CN" w:bidi="ar-SA"/>
        </w:rPr>
        <w:t>第三章  工资总额预算编制与申报</w:t>
      </w:r>
    </w:p>
    <w:p w14:paraId="76382C55">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第十五条</w:t>
      </w:r>
      <w:r>
        <w:rPr>
          <w:rFonts w:hint="eastAsia" w:ascii="仿宋_GB2312" w:hAnsi="仿宋_GB2312" w:eastAsia="仿宋_GB2312" w:cs="仿宋_GB2312"/>
          <w:snapToGrid/>
          <w:kern w:val="0"/>
          <w:sz w:val="32"/>
          <w:szCs w:val="32"/>
          <w:lang w:val="en-US" w:eastAsia="zh-CN" w:bidi="ar-SA"/>
        </w:rPr>
        <w:t xml:space="preserve"> 工资总额预算方案由区属国有企业根据工资收入分配政策和本企业实际情况自主编制。编制工资总额预算方案应综合考虑工资总额基数、年度生产经营和经济效益目标、联动指标等主要因素；编制范围原则上应与上年度财务决算合并报表范围相一致（包括区属国有企业本级的工资总额预算方案和所属各级全资、控股下属企业的工资总额预算方案）。</w:t>
      </w:r>
    </w:p>
    <w:p w14:paraId="10F611E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第十六条</w:t>
      </w:r>
      <w:r>
        <w:rPr>
          <w:rFonts w:hint="eastAsia" w:ascii="仿宋_GB2312" w:hAnsi="仿宋_GB2312" w:eastAsia="仿宋_GB2312" w:cs="仿宋_GB2312"/>
          <w:snapToGrid/>
          <w:kern w:val="0"/>
          <w:sz w:val="32"/>
          <w:szCs w:val="32"/>
          <w:lang w:val="en-US" w:eastAsia="zh-CN" w:bidi="ar-SA"/>
        </w:rPr>
        <w:t xml:space="preserve"> 区属国有企业工资总额预算方案主要包括以下内容：</w:t>
      </w:r>
    </w:p>
    <w:p w14:paraId="54E5E9A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（一）上年度生产经营和经济效益完成情况、人工成本投入产出等情况，工资总额预算执行情况、职工工资水平变动情况以及编制说明。</w:t>
      </w:r>
    </w:p>
    <w:p w14:paraId="70C0CBD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预算年度生产经营和经济效益、人工成本投入产出的预测情况，工资总额预算安排情况、职工工资水平预算变动情况以及编制说明。预算年度区属国有企业本部人员配备编制情况，作为企业本部申报说明材料，与工资总额预算方案同时上报。</w:t>
      </w:r>
    </w:p>
    <w:p w14:paraId="0B66ED3D">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第十七条</w:t>
      </w:r>
      <w:r>
        <w:rPr>
          <w:rFonts w:hint="eastAsia" w:ascii="仿宋_GB2312" w:hAnsi="仿宋_GB2312" w:eastAsia="仿宋_GB2312" w:cs="仿宋_GB2312"/>
          <w:snapToGrid/>
          <w:kern w:val="0"/>
          <w:sz w:val="32"/>
          <w:szCs w:val="32"/>
          <w:lang w:val="en-US" w:eastAsia="zh-CN" w:bidi="ar-SA"/>
        </w:rPr>
        <w:t xml:space="preserve"> 工资总额预算方案由</w:t>
      </w:r>
      <w:bookmarkStart w:id="14" w:name="OLE_LINK14"/>
      <w:r>
        <w:rPr>
          <w:rFonts w:hint="eastAsia" w:ascii="仿宋_GB2312" w:hAnsi="仿宋_GB2312" w:eastAsia="仿宋_GB2312" w:cs="仿宋_GB2312"/>
          <w:snapToGrid/>
          <w:kern w:val="0"/>
          <w:sz w:val="32"/>
          <w:szCs w:val="32"/>
          <w:lang w:val="en-US" w:eastAsia="zh-CN" w:bidi="ar-SA"/>
        </w:rPr>
        <w:t>区属国有企业</w:t>
      </w:r>
      <w:bookmarkEnd w:id="14"/>
      <w:r>
        <w:rPr>
          <w:rFonts w:hint="eastAsia" w:ascii="仿宋_GB2312" w:hAnsi="仿宋_GB2312" w:eastAsia="仿宋_GB2312" w:cs="仿宋_GB2312"/>
          <w:snapToGrid/>
          <w:kern w:val="0"/>
          <w:sz w:val="32"/>
          <w:szCs w:val="32"/>
          <w:lang w:val="en-US" w:eastAsia="zh-CN" w:bidi="ar-SA"/>
        </w:rPr>
        <w:t>履行相关程序，企业汇总后于每年</w:t>
      </w:r>
      <w:r>
        <w:rPr>
          <w:rFonts w:hint="eastAsia" w:ascii="仿宋_GB2312" w:hAnsi="仿宋_GB2312" w:eastAsia="仿宋_GB2312" w:cs="仿宋_GB2312"/>
          <w:snapToGrid/>
          <w:color w:val="auto"/>
          <w:kern w:val="0"/>
          <w:sz w:val="32"/>
          <w:szCs w:val="32"/>
          <w:lang w:val="en-US" w:eastAsia="zh-CN" w:bidi="ar-SA"/>
        </w:rPr>
        <w:t>3</w:t>
      </w:r>
      <w:r>
        <w:rPr>
          <w:rFonts w:hint="eastAsia" w:ascii="仿宋_GB2312" w:hAnsi="仿宋_GB2312" w:eastAsia="仿宋_GB2312" w:cs="仿宋_GB2312"/>
          <w:snapToGrid/>
          <w:kern w:val="0"/>
          <w:sz w:val="32"/>
          <w:szCs w:val="32"/>
          <w:lang w:val="en-US" w:eastAsia="zh-CN" w:bidi="ar-SA"/>
        </w:rPr>
        <w:t>月底前报</w:t>
      </w:r>
      <w:bookmarkStart w:id="15" w:name="OLE_LINK15"/>
      <w:r>
        <w:rPr>
          <w:rFonts w:hint="eastAsia" w:ascii="仿宋_GB2312" w:hAnsi="仿宋_GB2312" w:eastAsia="仿宋_GB2312" w:cs="仿宋_GB2312"/>
          <w:snapToGrid/>
          <w:kern w:val="0"/>
          <w:sz w:val="32"/>
          <w:szCs w:val="32"/>
          <w:lang w:val="en-US" w:eastAsia="zh-CN" w:bidi="ar-SA"/>
        </w:rPr>
        <w:t>区财政局（区国资局）</w:t>
      </w:r>
      <w:bookmarkEnd w:id="15"/>
      <w:r>
        <w:rPr>
          <w:rFonts w:hint="eastAsia" w:ascii="仿宋_GB2312" w:hAnsi="仿宋_GB2312" w:eastAsia="仿宋_GB2312" w:cs="仿宋_GB2312"/>
          <w:snapToGrid/>
          <w:kern w:val="0"/>
          <w:sz w:val="32"/>
          <w:szCs w:val="32"/>
          <w:lang w:val="en-US" w:eastAsia="zh-CN" w:bidi="ar-SA"/>
        </w:rPr>
        <w:t>，区财政局（区国资局）按规定出具核准或备案意见。</w:t>
      </w:r>
    </w:p>
    <w:p w14:paraId="15BA5BFB">
      <w:pPr>
        <w:keepNext w:val="0"/>
        <w:keepLines w:val="0"/>
        <w:pageBreakBefore w:val="0"/>
        <w:widowControl/>
        <w:kinsoku/>
        <w:wordWrap/>
        <w:overflowPunct/>
        <w:topLinePunct w:val="0"/>
        <w:autoSpaceDE/>
        <w:autoSpaceDN/>
        <w:bidi w:val="0"/>
        <w:adjustRightInd/>
        <w:snapToGrid/>
        <w:spacing w:after="0" w:afterLines="100"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第十八条</w:t>
      </w:r>
      <w:r>
        <w:rPr>
          <w:rFonts w:hint="eastAsia" w:ascii="仿宋_GB2312" w:hAnsi="仿宋_GB2312" w:eastAsia="仿宋_GB2312" w:cs="仿宋_GB2312"/>
          <w:snapToGrid/>
          <w:kern w:val="0"/>
          <w:sz w:val="32"/>
          <w:szCs w:val="32"/>
          <w:lang w:val="en-US" w:eastAsia="zh-CN" w:bidi="ar-SA"/>
        </w:rPr>
        <w:t xml:space="preserve"> </w:t>
      </w:r>
      <w:bookmarkStart w:id="16" w:name="OLE_LINK16"/>
      <w:r>
        <w:rPr>
          <w:rFonts w:hint="eastAsia" w:ascii="仿宋_GB2312" w:hAnsi="仿宋_GB2312" w:eastAsia="仿宋_GB2312" w:cs="仿宋_GB2312"/>
          <w:snapToGrid/>
          <w:kern w:val="0"/>
          <w:sz w:val="32"/>
          <w:szCs w:val="32"/>
          <w:lang w:val="en-US" w:eastAsia="zh-CN" w:bidi="ar-SA"/>
        </w:rPr>
        <w:t>区属国有企业</w:t>
      </w:r>
      <w:bookmarkEnd w:id="16"/>
      <w:r>
        <w:rPr>
          <w:rFonts w:hint="eastAsia" w:ascii="仿宋_GB2312" w:hAnsi="仿宋_GB2312" w:eastAsia="仿宋_GB2312" w:cs="仿宋_GB2312"/>
          <w:snapToGrid/>
          <w:kern w:val="0"/>
          <w:sz w:val="32"/>
          <w:szCs w:val="32"/>
          <w:lang w:val="en-US" w:eastAsia="zh-CN" w:bidi="ar-SA"/>
        </w:rPr>
        <w:t>工资总额预算一般按年度进行管理。对行业周期性特征明显、经济效益年度间波动较大或存在其他特殊情况的区属国有企业，经</w:t>
      </w:r>
      <w:bookmarkStart w:id="17" w:name="OLE_LINK17"/>
      <w:r>
        <w:rPr>
          <w:rFonts w:hint="eastAsia" w:ascii="仿宋_GB2312" w:hAnsi="仿宋_GB2312" w:eastAsia="仿宋_GB2312" w:cs="仿宋_GB2312"/>
          <w:snapToGrid/>
          <w:kern w:val="0"/>
          <w:sz w:val="32"/>
          <w:szCs w:val="32"/>
          <w:lang w:val="en-US" w:eastAsia="zh-CN" w:bidi="ar-SA"/>
        </w:rPr>
        <w:t>区财政局（区国资局）</w:t>
      </w:r>
      <w:bookmarkEnd w:id="17"/>
      <w:r>
        <w:rPr>
          <w:rFonts w:hint="eastAsia" w:ascii="仿宋_GB2312" w:hAnsi="仿宋_GB2312" w:eastAsia="仿宋_GB2312" w:cs="仿宋_GB2312"/>
          <w:snapToGrid/>
          <w:kern w:val="0"/>
          <w:sz w:val="32"/>
          <w:szCs w:val="32"/>
          <w:lang w:val="en-US" w:eastAsia="zh-CN" w:bidi="ar-SA"/>
        </w:rPr>
        <w:t>同意，工资总额预算可探索按周期进行管理，周期最长不超过三年，周期内工资总额年均增幅不超过同期经济效益年均增幅。</w:t>
      </w:r>
    </w:p>
    <w:p w14:paraId="6069F372">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第四章  工资总额预算执行与调整</w:t>
      </w:r>
    </w:p>
    <w:p w14:paraId="6A1E6C3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第十九条</w:t>
      </w:r>
      <w:r>
        <w:rPr>
          <w:rFonts w:hint="eastAsia" w:ascii="仿宋_GB2312" w:hAnsi="仿宋_GB2312" w:eastAsia="仿宋_GB2312" w:cs="仿宋_GB2312"/>
          <w:snapToGrid/>
          <w:kern w:val="0"/>
          <w:sz w:val="32"/>
          <w:szCs w:val="32"/>
          <w:lang w:val="en-US" w:eastAsia="zh-CN" w:bidi="ar-SA"/>
        </w:rPr>
        <w:t xml:space="preserve"> </w:t>
      </w:r>
      <w:bookmarkStart w:id="18" w:name="OLE_LINK18"/>
      <w:r>
        <w:rPr>
          <w:rFonts w:hint="eastAsia" w:ascii="仿宋_GB2312" w:hAnsi="仿宋_GB2312" w:eastAsia="仿宋_GB2312" w:cs="仿宋_GB2312"/>
          <w:snapToGrid/>
          <w:kern w:val="0"/>
          <w:sz w:val="32"/>
          <w:szCs w:val="32"/>
          <w:lang w:val="en-US" w:eastAsia="zh-CN" w:bidi="ar-SA"/>
        </w:rPr>
        <w:t>区属国有企业</w:t>
      </w:r>
      <w:bookmarkEnd w:id="18"/>
      <w:r>
        <w:rPr>
          <w:rFonts w:hint="eastAsia" w:ascii="仿宋_GB2312" w:hAnsi="仿宋_GB2312" w:eastAsia="仿宋_GB2312" w:cs="仿宋_GB2312"/>
          <w:snapToGrid/>
          <w:kern w:val="0"/>
          <w:sz w:val="32"/>
          <w:szCs w:val="32"/>
          <w:lang w:val="en-US" w:eastAsia="zh-CN" w:bidi="ar-SA"/>
        </w:rPr>
        <w:t>应当按照经区财政局（区国资局）核准或备案的工资总额预算方案，切实加强内部预算执行情况的跟踪和监督，加强预算执行情况分析，建立定期分析和公告制度。每季终了一个月内将季度、半年工资总额预算执行情况报告报</w:t>
      </w:r>
      <w:bookmarkStart w:id="19" w:name="OLE_LINK19"/>
      <w:r>
        <w:rPr>
          <w:rFonts w:hint="eastAsia" w:ascii="仿宋_GB2312" w:hAnsi="仿宋_GB2312" w:eastAsia="仿宋_GB2312" w:cs="仿宋_GB2312"/>
          <w:snapToGrid/>
          <w:kern w:val="0"/>
          <w:sz w:val="32"/>
          <w:szCs w:val="32"/>
          <w:lang w:val="en-US" w:eastAsia="zh-CN" w:bidi="ar-SA"/>
        </w:rPr>
        <w:t>区财政局（区国资局）</w:t>
      </w:r>
      <w:bookmarkEnd w:id="19"/>
      <w:r>
        <w:rPr>
          <w:rFonts w:hint="eastAsia" w:ascii="仿宋_GB2312" w:hAnsi="仿宋_GB2312" w:eastAsia="仿宋_GB2312" w:cs="仿宋_GB2312"/>
          <w:snapToGrid/>
          <w:kern w:val="0"/>
          <w:sz w:val="32"/>
          <w:szCs w:val="32"/>
          <w:lang w:val="en-US" w:eastAsia="zh-CN" w:bidi="ar-SA"/>
        </w:rPr>
        <w:t>备案。</w:t>
      </w:r>
    </w:p>
    <w:p w14:paraId="047D79CE">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第二十条</w:t>
      </w:r>
      <w:r>
        <w:rPr>
          <w:rFonts w:hint="eastAsia" w:ascii="仿宋_GB2312" w:hAnsi="仿宋_GB2312" w:eastAsia="仿宋_GB2312" w:cs="仿宋_GB2312"/>
          <w:snapToGrid/>
          <w:kern w:val="0"/>
          <w:sz w:val="32"/>
          <w:szCs w:val="32"/>
          <w:lang w:val="en-US" w:eastAsia="zh-CN" w:bidi="ar-SA"/>
        </w:rPr>
        <w:t xml:space="preserve"> </w:t>
      </w:r>
      <w:bookmarkStart w:id="20" w:name="OLE_LINK21"/>
      <w:r>
        <w:rPr>
          <w:rFonts w:hint="eastAsia" w:ascii="仿宋_GB2312" w:hAnsi="仿宋_GB2312" w:eastAsia="仿宋_GB2312" w:cs="仿宋_GB2312"/>
          <w:snapToGrid/>
          <w:kern w:val="0"/>
          <w:sz w:val="32"/>
          <w:szCs w:val="32"/>
          <w:lang w:val="en-US" w:eastAsia="zh-CN" w:bidi="ar-SA"/>
        </w:rPr>
        <w:t>区属国有企业</w:t>
      </w:r>
      <w:bookmarkEnd w:id="20"/>
      <w:r>
        <w:rPr>
          <w:rFonts w:hint="eastAsia" w:ascii="仿宋_GB2312" w:hAnsi="仿宋_GB2312" w:eastAsia="仿宋_GB2312" w:cs="仿宋_GB2312"/>
          <w:snapToGrid/>
          <w:kern w:val="0"/>
          <w:sz w:val="32"/>
          <w:szCs w:val="32"/>
          <w:lang w:val="en-US" w:eastAsia="zh-CN" w:bidi="ar-SA"/>
        </w:rPr>
        <w:t>应当根据预算年度的经济效益预算变动情况及时调整工资总额预算方案，确保年度经济效益预算和工资总额预算目标的实现。工资总额预算调整需履行企业内部决策程序，形成企业工资总额预算调整说明材料，随季度、半年工资总额预算执行情况报告同时报</w:t>
      </w:r>
      <w:bookmarkStart w:id="21" w:name="OLE_LINK20"/>
      <w:r>
        <w:rPr>
          <w:rFonts w:hint="eastAsia" w:ascii="仿宋_GB2312" w:hAnsi="仿宋_GB2312" w:eastAsia="仿宋_GB2312" w:cs="仿宋_GB2312"/>
          <w:snapToGrid/>
          <w:kern w:val="0"/>
          <w:sz w:val="32"/>
          <w:szCs w:val="32"/>
          <w:lang w:val="en-US" w:eastAsia="zh-CN" w:bidi="ar-SA"/>
        </w:rPr>
        <w:t>区财政局（区国资局）</w:t>
      </w:r>
      <w:bookmarkEnd w:id="21"/>
      <w:r>
        <w:rPr>
          <w:rFonts w:hint="eastAsia" w:ascii="仿宋_GB2312" w:hAnsi="仿宋_GB2312" w:eastAsia="仿宋_GB2312" w:cs="仿宋_GB2312"/>
          <w:snapToGrid/>
          <w:kern w:val="0"/>
          <w:sz w:val="32"/>
          <w:szCs w:val="32"/>
          <w:lang w:val="en-US" w:eastAsia="zh-CN" w:bidi="ar-SA"/>
        </w:rPr>
        <w:t>备案。</w:t>
      </w:r>
    </w:p>
    <w:p w14:paraId="36B03F3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在执行过程中出现以下情形之一，导致预算编制基础发生重大变化的，可以对工资总额预算进行调整：</w:t>
      </w:r>
    </w:p>
    <w:p w14:paraId="4686FCE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（一）中央及省市收入分配政策等宏观经济政策发生重大调整的。</w:t>
      </w:r>
    </w:p>
    <w:p w14:paraId="3BE31A1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（二）市场环境发生重大变化引起企业效益大幅变动，以及其他因素导致企业效益与预算数出现较大偏差的。</w:t>
      </w:r>
    </w:p>
    <w:p w14:paraId="0A0BFDD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（三）企业发生分立、合并等重大资产重组行为，导致企业效益、职工人数发生重大变化的。</w:t>
      </w:r>
    </w:p>
    <w:p w14:paraId="1CB5AB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（四）其他特殊情况。</w:t>
      </w:r>
    </w:p>
    <w:p w14:paraId="462A04C2">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ascii="Arial"/>
          <w:sz w:val="21"/>
        </w:rPr>
      </w:pPr>
      <w:r>
        <w:rPr>
          <w:rFonts w:hint="eastAsia" w:ascii="宋体" w:hAnsi="宋体" w:eastAsia="宋体" w:cs="宋体"/>
          <w:b/>
          <w:bCs/>
          <w:snapToGrid/>
          <w:kern w:val="0"/>
          <w:sz w:val="32"/>
          <w:szCs w:val="32"/>
          <w:lang w:val="en-US" w:eastAsia="zh-CN" w:bidi="ar-SA"/>
        </w:rPr>
        <w:t>第五章  企业内部收入分配管理</w:t>
      </w:r>
    </w:p>
    <w:p w14:paraId="7E1565F1">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第二十一条</w:t>
      </w:r>
      <w:r>
        <w:rPr>
          <w:rFonts w:hint="eastAsia" w:ascii="仿宋_GB2312" w:hAnsi="仿宋_GB2312" w:eastAsia="仿宋_GB2312" w:cs="仿宋_GB2312"/>
          <w:snapToGrid/>
          <w:kern w:val="0"/>
          <w:sz w:val="32"/>
          <w:szCs w:val="32"/>
          <w:lang w:val="en-US" w:eastAsia="zh-CN" w:bidi="ar-SA"/>
        </w:rPr>
        <w:t xml:space="preserve"> 区属国有企业应当建立健全本部和下属企业工资总额管理的制度体系，制定与业绩考核目标挂钩的工资总额预算管理办法，明确工资总额预算的管理职责和管理程序，指导下属企业内部收入分配管理，不断完善下属企业工资总额能增能减机制，结合实际情况合理确定内部工资结构和差异化的决定机制，兼顾工资总额保障性需求，进一步突出工资总额的激励功能，实现工资与经济效益同向联动紧密挂钩。</w:t>
      </w:r>
    </w:p>
    <w:p w14:paraId="7EC557B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第二十二条</w:t>
      </w:r>
      <w:r>
        <w:rPr>
          <w:rFonts w:hint="eastAsia" w:ascii="仿宋_GB2312" w:hAnsi="仿宋_GB2312" w:eastAsia="仿宋_GB2312" w:cs="仿宋_GB2312"/>
          <w:snapToGrid/>
          <w:kern w:val="0"/>
          <w:sz w:val="32"/>
          <w:szCs w:val="32"/>
          <w:lang w:val="en-US" w:eastAsia="zh-CN" w:bidi="ar-SA"/>
        </w:rPr>
        <w:t xml:space="preserve"> 区属国有企业本部职工平均工资增长幅度应低于本企业全部职工平均工资增长幅度。</w:t>
      </w:r>
    </w:p>
    <w:p w14:paraId="4E537A5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第二十三条</w:t>
      </w:r>
      <w:r>
        <w:rPr>
          <w:rFonts w:hint="eastAsia" w:ascii="仿宋_GB2312" w:hAnsi="仿宋_GB2312" w:eastAsia="仿宋_GB2312" w:cs="仿宋_GB2312"/>
          <w:snapToGrid/>
          <w:kern w:val="0"/>
          <w:sz w:val="32"/>
          <w:szCs w:val="32"/>
          <w:lang w:val="en-US" w:eastAsia="zh-CN" w:bidi="ar-SA"/>
        </w:rPr>
        <w:t xml:space="preserve"> 区属国有企业应当深化企业内部工资分配制度改革，构建以岗位价值为基础、以绩效贡献为依据的薪酬管理制度，加强岗位分析、岗位评价，合理确定岗位工资水平，坚持按岗定薪、岗变薪变。完善全员绩效考核制度，加快形成个人收入与岗位责任、贡献和企业效益密切挂钩，与劳动力市场价位相衔接的增长机制。</w:t>
      </w:r>
    </w:p>
    <w:p w14:paraId="307C736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第二十四条</w:t>
      </w:r>
      <w:r>
        <w:rPr>
          <w:rFonts w:hint="eastAsia" w:ascii="仿宋_GB2312" w:hAnsi="仿宋_GB2312" w:eastAsia="仿宋_GB2312" w:cs="仿宋_GB2312"/>
          <w:snapToGrid/>
          <w:kern w:val="0"/>
          <w:sz w:val="32"/>
          <w:szCs w:val="32"/>
          <w:lang w:val="en-US" w:eastAsia="zh-CN" w:bidi="ar-SA"/>
        </w:rPr>
        <w:t xml:space="preserve"> 区属国有企业应当制定科学的企业薪酬战略，完善市场化薪酬分配机制，根据企业人工成本承受能力和人才稀缺程度，合理确定区属国有企业各类人员的薪酬水平，逐步提高核心骨干人才的薪酬市场竞争力，调整不合理的偏高、</w:t>
      </w:r>
    </w:p>
    <w:p w14:paraId="387678B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过高收入。</w:t>
      </w:r>
    </w:p>
    <w:p w14:paraId="4FE434E4">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第二十五条</w:t>
      </w:r>
      <w:r>
        <w:rPr>
          <w:rFonts w:hint="eastAsia" w:ascii="仿宋_GB2312" w:hAnsi="仿宋_GB2312" w:eastAsia="仿宋_GB2312" w:cs="仿宋_GB2312"/>
          <w:snapToGrid/>
          <w:kern w:val="0"/>
          <w:sz w:val="32"/>
          <w:szCs w:val="32"/>
          <w:lang w:val="en-US" w:eastAsia="zh-CN" w:bidi="ar-SA"/>
        </w:rPr>
        <w:t xml:space="preserve"> 坚持短期与中长期激励相结合，积极探索实行以鼓励创新为导向的分配政策，对创新人才、科技人才实行股权激励、分红激励等中长期激励。</w:t>
      </w:r>
    </w:p>
    <w:p w14:paraId="5A396B5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第二十六条</w:t>
      </w:r>
      <w:r>
        <w:rPr>
          <w:rFonts w:hint="eastAsia" w:ascii="仿宋_GB2312" w:hAnsi="仿宋_GB2312" w:eastAsia="仿宋_GB2312" w:cs="仿宋_GB2312"/>
          <w:snapToGrid/>
          <w:kern w:val="0"/>
          <w:sz w:val="32"/>
          <w:szCs w:val="32"/>
          <w:lang w:val="en-US" w:eastAsia="zh-CN" w:bidi="ar-SA"/>
        </w:rPr>
        <w:t xml:space="preserve"> 区属国有企业应当结合自身实际，统筹规范企业福利保障制度，加强福利项目和费用管理，严格清理规范工资外收入。社会保险、住房公积金、企业年金、福利等国家和地方有明确政策规定的，要严格执行相关规定，不得超标准列支。企业效益下降的，职工福利费水平不得提高。</w:t>
      </w:r>
    </w:p>
    <w:p w14:paraId="6A34704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第二十七条</w:t>
      </w:r>
      <w:r>
        <w:rPr>
          <w:rFonts w:hint="eastAsia" w:ascii="仿宋_GB2312" w:hAnsi="仿宋_GB2312" w:eastAsia="仿宋_GB2312" w:cs="仿宋_GB2312"/>
          <w:snapToGrid/>
          <w:kern w:val="0"/>
          <w:sz w:val="32"/>
          <w:szCs w:val="32"/>
          <w:lang w:val="en-US" w:eastAsia="zh-CN" w:bidi="ar-SA"/>
        </w:rPr>
        <w:t xml:space="preserve"> </w:t>
      </w:r>
      <w:bookmarkStart w:id="22" w:name="OLE_LINK22"/>
      <w:r>
        <w:rPr>
          <w:rFonts w:hint="eastAsia" w:ascii="仿宋_GB2312" w:hAnsi="仿宋_GB2312" w:eastAsia="仿宋_GB2312" w:cs="仿宋_GB2312"/>
          <w:snapToGrid/>
          <w:kern w:val="0"/>
          <w:sz w:val="32"/>
          <w:szCs w:val="32"/>
          <w:lang w:val="en-US" w:eastAsia="zh-CN" w:bidi="ar-SA"/>
        </w:rPr>
        <w:t>区属国有企业</w:t>
      </w:r>
      <w:bookmarkEnd w:id="22"/>
      <w:r>
        <w:rPr>
          <w:rFonts w:hint="eastAsia" w:ascii="仿宋_GB2312" w:hAnsi="仿宋_GB2312" w:eastAsia="仿宋_GB2312" w:cs="仿宋_GB2312"/>
          <w:snapToGrid/>
          <w:kern w:val="0"/>
          <w:sz w:val="32"/>
          <w:szCs w:val="32"/>
          <w:lang w:val="en-US" w:eastAsia="zh-CN" w:bidi="ar-SA"/>
        </w:rPr>
        <w:t>应优化工资收入结构，逐步将工资总额以外的其他人工成本项目纳入预算管理范围，完善全口径人工成本预算管理制度体系，严格控制人工成本不合理增长，不断提高人工成本投入产出效率。</w:t>
      </w:r>
    </w:p>
    <w:p w14:paraId="71319D7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第二十八条</w:t>
      </w:r>
      <w:r>
        <w:rPr>
          <w:rFonts w:hint="eastAsia" w:ascii="仿宋_GB2312" w:hAnsi="仿宋_GB2312" w:eastAsia="仿宋_GB2312" w:cs="仿宋_GB2312"/>
          <w:snapToGrid/>
          <w:kern w:val="0"/>
          <w:sz w:val="32"/>
          <w:szCs w:val="32"/>
          <w:lang w:val="en-US" w:eastAsia="zh-CN" w:bidi="ar-SA"/>
        </w:rPr>
        <w:t xml:space="preserve"> 区属国有企业应当健全完善内部监督机制，企业内部收入分配制度、中长期激励计划及实施方案等关系职工切身利益的重大分配事项应当履行必要的决策程序，强化民主监督，落实企务公开制度、健全内部审核监察机制，企业要将企业薪酬福利管理作为财务管理和年度审计的重要内容。</w:t>
      </w:r>
    </w:p>
    <w:p w14:paraId="6C7AABAC">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第六章  工资总额清算和监督</w:t>
      </w:r>
    </w:p>
    <w:p w14:paraId="1FC06B4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第二十九条</w:t>
      </w:r>
      <w:r>
        <w:rPr>
          <w:rFonts w:hint="eastAsia" w:ascii="仿宋_GB2312" w:hAnsi="仿宋_GB2312" w:eastAsia="仿宋_GB2312" w:cs="仿宋_GB2312"/>
          <w:snapToGrid/>
          <w:kern w:val="0"/>
          <w:sz w:val="32"/>
          <w:szCs w:val="32"/>
          <w:lang w:val="en-US" w:eastAsia="zh-CN" w:bidi="ar-SA"/>
        </w:rPr>
        <w:t xml:space="preserve"> </w:t>
      </w:r>
      <w:bookmarkStart w:id="23" w:name="OLE_LINK23"/>
      <w:r>
        <w:rPr>
          <w:rFonts w:hint="eastAsia" w:ascii="仿宋_GB2312" w:hAnsi="仿宋_GB2312" w:eastAsia="仿宋_GB2312" w:cs="仿宋_GB2312"/>
          <w:snapToGrid/>
          <w:kern w:val="0"/>
          <w:sz w:val="32"/>
          <w:szCs w:val="32"/>
          <w:lang w:val="en-US" w:eastAsia="zh-CN" w:bidi="ar-SA"/>
        </w:rPr>
        <w:t>区财政局（区国资局）</w:t>
      </w:r>
      <w:bookmarkEnd w:id="23"/>
      <w:r>
        <w:rPr>
          <w:rFonts w:hint="eastAsia" w:ascii="仿宋_GB2312" w:hAnsi="仿宋_GB2312" w:eastAsia="仿宋_GB2312" w:cs="仿宋_GB2312"/>
          <w:snapToGrid/>
          <w:kern w:val="0"/>
          <w:sz w:val="32"/>
          <w:szCs w:val="32"/>
          <w:lang w:val="en-US" w:eastAsia="zh-CN" w:bidi="ar-SA"/>
        </w:rPr>
        <w:t>负责对区属国有企业工资分配进行宏观指导和调控。</w:t>
      </w:r>
    </w:p>
    <w:p w14:paraId="0CCADCE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第三十条</w:t>
      </w:r>
      <w:r>
        <w:rPr>
          <w:rFonts w:hint="eastAsia" w:ascii="仿宋_GB2312" w:hAnsi="仿宋_GB2312" w:eastAsia="仿宋_GB2312" w:cs="仿宋_GB2312"/>
          <w:snapToGrid/>
          <w:kern w:val="0"/>
          <w:sz w:val="32"/>
          <w:szCs w:val="32"/>
          <w:lang w:val="en-US" w:eastAsia="zh-CN" w:bidi="ar-SA"/>
        </w:rPr>
        <w:t xml:space="preserve"> </w:t>
      </w:r>
      <w:bookmarkStart w:id="24" w:name="OLE_LINK24"/>
      <w:r>
        <w:rPr>
          <w:rFonts w:hint="eastAsia" w:ascii="仿宋_GB2312" w:hAnsi="仿宋_GB2312" w:eastAsia="仿宋_GB2312" w:cs="仿宋_GB2312"/>
          <w:snapToGrid/>
          <w:kern w:val="0"/>
          <w:sz w:val="32"/>
          <w:szCs w:val="32"/>
          <w:lang w:val="en-US" w:eastAsia="zh-CN" w:bidi="ar-SA"/>
        </w:rPr>
        <w:t>区属国有企业</w:t>
      </w:r>
      <w:bookmarkEnd w:id="24"/>
      <w:r>
        <w:rPr>
          <w:rFonts w:hint="eastAsia" w:ascii="仿宋_GB2312" w:hAnsi="仿宋_GB2312" w:eastAsia="仿宋_GB2312" w:cs="仿宋_GB2312"/>
          <w:snapToGrid/>
          <w:kern w:val="0"/>
          <w:sz w:val="32"/>
          <w:szCs w:val="32"/>
          <w:lang w:val="en-US" w:eastAsia="zh-CN" w:bidi="ar-SA"/>
        </w:rPr>
        <w:t>应当按照清算工作要求在上年度财务决算完成后，于每年4月底前向区财政局（区国资局）提交上年度工资总额预算执行情况报告及相关数据。</w:t>
      </w:r>
      <w:bookmarkStart w:id="25" w:name="OLE_LINK25"/>
      <w:r>
        <w:rPr>
          <w:rFonts w:hint="eastAsia" w:ascii="仿宋_GB2312" w:hAnsi="仿宋_GB2312" w:eastAsia="仿宋_GB2312" w:cs="仿宋_GB2312"/>
          <w:snapToGrid/>
          <w:kern w:val="0"/>
          <w:sz w:val="32"/>
          <w:szCs w:val="32"/>
          <w:lang w:val="en-US" w:eastAsia="zh-CN" w:bidi="ar-SA"/>
        </w:rPr>
        <w:t>区财政局（区国资局）</w:t>
      </w:r>
      <w:bookmarkEnd w:id="25"/>
      <w:r>
        <w:rPr>
          <w:rFonts w:hint="eastAsia" w:ascii="仿宋_GB2312" w:hAnsi="仿宋_GB2312" w:eastAsia="仿宋_GB2312" w:cs="仿宋_GB2312"/>
          <w:snapToGrid/>
          <w:kern w:val="0"/>
          <w:sz w:val="32"/>
          <w:szCs w:val="32"/>
          <w:lang w:val="en-US" w:eastAsia="zh-CN" w:bidi="ar-SA"/>
        </w:rPr>
        <w:t>依据经审计的财务决算结果，对区属国有企业工资总额预算执行情况进行清算，并按年度将所监管国有企业工资总额预算执行情况报告区政府。</w:t>
      </w:r>
    </w:p>
    <w:p w14:paraId="0D41A96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第三十一条</w:t>
      </w:r>
      <w:r>
        <w:rPr>
          <w:rFonts w:hint="eastAsia" w:ascii="仿宋_GB2312" w:hAnsi="仿宋_GB2312" w:eastAsia="仿宋_GB2312" w:cs="仿宋_GB2312"/>
          <w:snapToGrid/>
          <w:kern w:val="0"/>
          <w:sz w:val="32"/>
          <w:szCs w:val="32"/>
          <w:lang w:val="en-US" w:eastAsia="zh-CN" w:bidi="ar-SA"/>
        </w:rPr>
        <w:t xml:space="preserve"> 区财政局（国资局）对区属国有企业工资总额预算执行情况进行监督检查，及时查处违规发放工资、滥发工资外收入等行为，加强与同级审计、税务、纪检监察、巡察等监督的协同，建立工作会商和资源共享机制，提高监督效能，形成监管合力，必要时可委托中介机构进行专项审计。</w:t>
      </w:r>
    </w:p>
    <w:p w14:paraId="233F73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p>
    <w:p w14:paraId="74910873">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第七章  违规罚则</w:t>
      </w:r>
    </w:p>
    <w:p w14:paraId="4937465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第三十二条</w:t>
      </w:r>
      <w:r>
        <w:rPr>
          <w:rFonts w:hint="eastAsia" w:ascii="仿宋_GB2312" w:hAnsi="仿宋_GB2312" w:eastAsia="仿宋_GB2312" w:cs="仿宋_GB2312"/>
          <w:snapToGrid/>
          <w:kern w:val="0"/>
          <w:sz w:val="32"/>
          <w:szCs w:val="32"/>
          <w:lang w:val="en-US" w:eastAsia="zh-CN" w:bidi="ar-SA"/>
        </w:rPr>
        <w:t xml:space="preserve"> </w:t>
      </w:r>
      <w:bookmarkStart w:id="26" w:name="OLE_LINK26"/>
      <w:r>
        <w:rPr>
          <w:rFonts w:hint="eastAsia" w:ascii="仿宋_GB2312" w:hAnsi="仿宋_GB2312" w:eastAsia="仿宋_GB2312" w:cs="仿宋_GB2312"/>
          <w:snapToGrid/>
          <w:kern w:val="0"/>
          <w:sz w:val="32"/>
          <w:szCs w:val="32"/>
          <w:lang w:val="en-US" w:eastAsia="zh-CN" w:bidi="ar-SA"/>
        </w:rPr>
        <w:t>区属国有企业</w:t>
      </w:r>
      <w:bookmarkEnd w:id="26"/>
      <w:r>
        <w:rPr>
          <w:rFonts w:hint="eastAsia" w:ascii="仿宋_GB2312" w:hAnsi="仿宋_GB2312" w:eastAsia="仿宋_GB2312" w:cs="仿宋_GB2312"/>
          <w:snapToGrid/>
          <w:kern w:val="0"/>
          <w:sz w:val="32"/>
          <w:szCs w:val="32"/>
          <w:lang w:val="en-US" w:eastAsia="zh-CN" w:bidi="ar-SA"/>
        </w:rPr>
        <w:t>应严格控制工资总额预算的使用，不得超提超发。出现超提超发情况的，应当主动清退并进行相关账务处理；对不主动清退的区属国有企业，</w:t>
      </w:r>
      <w:bookmarkStart w:id="27" w:name="OLE_LINK27"/>
      <w:r>
        <w:rPr>
          <w:rFonts w:hint="eastAsia" w:ascii="仿宋_GB2312" w:hAnsi="仿宋_GB2312" w:eastAsia="仿宋_GB2312" w:cs="仿宋_GB2312"/>
          <w:snapToGrid/>
          <w:kern w:val="0"/>
          <w:sz w:val="32"/>
          <w:szCs w:val="32"/>
          <w:lang w:val="en-US" w:eastAsia="zh-CN" w:bidi="ar-SA"/>
        </w:rPr>
        <w:t>区财政局（区国资局）</w:t>
      </w:r>
      <w:bookmarkEnd w:id="27"/>
      <w:r>
        <w:rPr>
          <w:rFonts w:hint="eastAsia" w:ascii="仿宋_GB2312" w:hAnsi="仿宋_GB2312" w:eastAsia="仿宋_GB2312" w:cs="仿宋_GB2312"/>
          <w:snapToGrid/>
          <w:kern w:val="0"/>
          <w:sz w:val="32"/>
          <w:szCs w:val="32"/>
          <w:lang w:val="en-US" w:eastAsia="zh-CN" w:bidi="ar-SA"/>
        </w:rPr>
        <w:t>除相应核减企业下一年度工资总额外，对违规区属国有企业采取警示、通报批评、扣减企业负责人年度效益薪酬等处罚措施。</w:t>
      </w:r>
    </w:p>
    <w:p w14:paraId="2F61DF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bookmarkStart w:id="28" w:name="OLE_LINK28"/>
      <w:r>
        <w:rPr>
          <w:rFonts w:hint="eastAsia" w:ascii="仿宋_GB2312" w:hAnsi="仿宋_GB2312" w:eastAsia="仿宋_GB2312" w:cs="仿宋_GB2312"/>
          <w:snapToGrid/>
          <w:kern w:val="0"/>
          <w:sz w:val="32"/>
          <w:szCs w:val="32"/>
          <w:lang w:val="en-US" w:eastAsia="zh-CN" w:bidi="ar-SA"/>
        </w:rPr>
        <w:t>区属国有企业</w:t>
      </w:r>
      <w:bookmarkEnd w:id="28"/>
      <w:r>
        <w:rPr>
          <w:rFonts w:hint="eastAsia" w:ascii="仿宋_GB2312" w:hAnsi="仿宋_GB2312" w:eastAsia="仿宋_GB2312" w:cs="仿宋_GB2312"/>
          <w:snapToGrid/>
          <w:kern w:val="0"/>
          <w:sz w:val="32"/>
          <w:szCs w:val="32"/>
          <w:lang w:val="en-US" w:eastAsia="zh-CN" w:bidi="ar-SA"/>
        </w:rPr>
        <w:t>超提、超发金额在清算可发工资总额10%以内的，扣罚该企业主要领导、分管领导10%的绩效年薪；区属国有企业超提、超发金额在10%（含）以上的，扣罚该企业主要领导、分管领导20%的绩效年薪。</w:t>
      </w:r>
    </w:p>
    <w:p w14:paraId="3790702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第三十三条</w:t>
      </w:r>
      <w:r>
        <w:rPr>
          <w:rFonts w:hint="eastAsia" w:ascii="仿宋_GB2312" w:hAnsi="仿宋_GB2312" w:eastAsia="仿宋_GB2312" w:cs="仿宋_GB2312"/>
          <w:snapToGrid/>
          <w:kern w:val="0"/>
          <w:sz w:val="32"/>
          <w:szCs w:val="32"/>
          <w:lang w:val="en-US" w:eastAsia="zh-CN" w:bidi="ar-SA"/>
        </w:rPr>
        <w:t xml:space="preserve"> </w:t>
      </w:r>
      <w:bookmarkStart w:id="29" w:name="OLE_LINK29"/>
      <w:r>
        <w:rPr>
          <w:rFonts w:hint="eastAsia" w:ascii="仿宋_GB2312" w:hAnsi="仿宋_GB2312" w:eastAsia="仿宋_GB2312" w:cs="仿宋_GB2312"/>
          <w:snapToGrid/>
          <w:kern w:val="0"/>
          <w:sz w:val="32"/>
          <w:szCs w:val="32"/>
          <w:lang w:val="en-US" w:eastAsia="zh-CN" w:bidi="ar-SA"/>
        </w:rPr>
        <w:t>区财政局（区国资局）</w:t>
      </w:r>
      <w:bookmarkEnd w:id="29"/>
      <w:r>
        <w:rPr>
          <w:rFonts w:hint="eastAsia" w:ascii="仿宋_GB2312" w:hAnsi="仿宋_GB2312" w:eastAsia="仿宋_GB2312" w:cs="仿宋_GB2312"/>
          <w:snapToGrid/>
          <w:kern w:val="0"/>
          <w:sz w:val="32"/>
          <w:szCs w:val="32"/>
          <w:lang w:val="en-US" w:eastAsia="zh-CN" w:bidi="ar-SA"/>
        </w:rPr>
        <w:t>责令违规列支或其他严重违反财务管理规定的区属国有企业清退违规收入和进行相关账目处理并采取警示、通报批评、扣减企业负责人年度效益薪酬等处罚措施。</w:t>
      </w:r>
    </w:p>
    <w:p w14:paraId="1E926D3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区属国有企业违规列支金额在清算可发工资总额10%以内的，扣罚该企业主要领导、分管领导10%的绩效年薪；区属国有企业违规列支金额在清算可发工资总额10%（含）以上的，扣罚该企业主要领导、分管领导20%的绩效年薪。</w:t>
      </w:r>
    </w:p>
    <w:p w14:paraId="5DEF3936">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第三十四条</w:t>
      </w:r>
      <w:r>
        <w:rPr>
          <w:rFonts w:hint="eastAsia" w:ascii="仿宋_GB2312" w:hAnsi="仿宋_GB2312" w:eastAsia="仿宋_GB2312" w:cs="仿宋_GB2312"/>
          <w:snapToGrid/>
          <w:kern w:val="0"/>
          <w:sz w:val="32"/>
          <w:szCs w:val="32"/>
          <w:lang w:val="en-US" w:eastAsia="zh-CN" w:bidi="ar-SA"/>
        </w:rPr>
        <w:t xml:space="preserve"> 对区属国有企业存在超提、超发工资总额及其他违规行为的，扣回违规发放的工资总额，并视违规情形对企业负责人和相关负责人员依照有关规定给予经济处罚和纪律处分；构成犯罪的，由司法机关依法追究刑事责任。</w:t>
      </w:r>
    </w:p>
    <w:p w14:paraId="6FF4398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p>
    <w:p w14:paraId="7B17F8AC">
      <w:pPr>
        <w:keepNext w:val="0"/>
        <w:keepLines w:val="0"/>
        <w:pageBreakBefore w:val="0"/>
        <w:widowControl/>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第八章  附则</w:t>
      </w:r>
    </w:p>
    <w:p w14:paraId="6986EEB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第三十五条</w:t>
      </w:r>
      <w:r>
        <w:rPr>
          <w:rFonts w:hint="eastAsia" w:ascii="仿宋_GB2312" w:hAnsi="仿宋_GB2312" w:eastAsia="仿宋_GB2312" w:cs="仿宋_GB2312"/>
          <w:snapToGrid/>
          <w:kern w:val="0"/>
          <w:sz w:val="32"/>
          <w:szCs w:val="32"/>
          <w:lang w:val="en-US" w:eastAsia="zh-CN" w:bidi="ar-SA"/>
        </w:rPr>
        <w:t xml:space="preserve"> 国有参股企业在涉及工资分配表决上，派出股东代表（含非实际控制上市公司）可按本办法的规定发表意见。</w:t>
      </w:r>
    </w:p>
    <w:p w14:paraId="572CFDD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0"/>
          <w:sz w:val="32"/>
          <w:szCs w:val="32"/>
          <w:lang w:val="en-US" w:eastAsia="zh-CN" w:bidi="ar-SA"/>
        </w:rPr>
        <w:sectPr>
          <w:footerReference r:id="rId6" w:type="default"/>
          <w:pgSz w:w="12000" w:h="16980"/>
          <w:pgMar w:top="1443" w:right="1800" w:bottom="1519" w:left="1800" w:header="0" w:footer="1280" w:gutter="0"/>
          <w:pgNumType w:fmt="decimal"/>
          <w:cols w:space="720" w:num="1"/>
        </w:sectPr>
      </w:pPr>
      <w:r>
        <w:rPr>
          <w:rFonts w:hint="eastAsia" w:ascii="仿宋_GB2312" w:hAnsi="仿宋_GB2312" w:eastAsia="仿宋_GB2312" w:cs="仿宋_GB2312"/>
          <w:b/>
          <w:bCs/>
          <w:snapToGrid/>
          <w:kern w:val="0"/>
          <w:sz w:val="32"/>
          <w:szCs w:val="32"/>
          <w:lang w:val="en-US" w:eastAsia="zh-CN" w:bidi="ar-SA"/>
        </w:rPr>
        <w:t>第三十六条</w:t>
      </w:r>
      <w:r>
        <w:rPr>
          <w:rFonts w:hint="eastAsia" w:ascii="仿宋_GB2312" w:hAnsi="仿宋_GB2312" w:eastAsia="仿宋_GB2312" w:cs="仿宋_GB2312"/>
          <w:snapToGrid/>
          <w:kern w:val="0"/>
          <w:sz w:val="32"/>
          <w:szCs w:val="32"/>
          <w:lang w:val="en-US" w:eastAsia="zh-CN" w:bidi="ar-SA"/>
        </w:rPr>
        <w:t xml:space="preserve"> 本办法由区财政局（区国资局）负责解释，自发布之日起执行，有效期三年。</w:t>
      </w:r>
    </w:p>
    <w:p w14:paraId="34A93B3D">
      <w:pPr>
        <w:keepNext w:val="0"/>
        <w:keepLines w:val="0"/>
        <w:pageBreakBefore w:val="0"/>
        <w:widowControl/>
        <w:kinsoku/>
        <w:wordWrap/>
        <w:overflowPunct/>
        <w:topLinePunct w:val="0"/>
        <w:bidi w:val="0"/>
        <w:spacing w:line="242" w:lineRule="auto"/>
        <w:rPr>
          <w:rFonts w:ascii="Arial"/>
          <w:sz w:val="21"/>
        </w:rPr>
      </w:pPr>
    </w:p>
    <w:p w14:paraId="02F43E61">
      <w:pPr>
        <w:keepNext w:val="0"/>
        <w:keepLines w:val="0"/>
        <w:pageBreakBefore w:val="0"/>
        <w:widowControl/>
        <w:kinsoku/>
        <w:wordWrap/>
        <w:overflowPunct/>
        <w:topLinePunct w:val="0"/>
        <w:bidi w:val="0"/>
        <w:spacing w:before="101" w:line="222" w:lineRule="auto"/>
        <w:ind w:left="164"/>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9"/>
          <w:sz w:val="32"/>
          <w:szCs w:val="32"/>
        </w:rPr>
        <w:t>附件：工资总额实施细则</w:t>
      </w:r>
    </w:p>
    <w:p w14:paraId="2DE29D80">
      <w:pPr>
        <w:keepNext w:val="0"/>
        <w:keepLines w:val="0"/>
        <w:pageBreakBefore w:val="0"/>
        <w:widowControl/>
        <w:kinsoku/>
        <w:wordWrap/>
        <w:overflowPunct/>
        <w:topLinePunct w:val="0"/>
        <w:bidi w:val="0"/>
        <w:spacing w:line="316" w:lineRule="auto"/>
        <w:rPr>
          <w:rFonts w:ascii="Arial"/>
          <w:sz w:val="21"/>
        </w:rPr>
      </w:pPr>
    </w:p>
    <w:p w14:paraId="3F3401DB">
      <w:pPr>
        <w:keepNext w:val="0"/>
        <w:keepLines w:val="0"/>
        <w:pageBreakBefore w:val="0"/>
        <w:widowControl/>
        <w:kinsoku/>
        <w:wordWrap/>
        <w:overflowPunct/>
        <w:topLinePunct w:val="0"/>
        <w:bidi w:val="0"/>
        <w:spacing w:line="316" w:lineRule="auto"/>
        <w:rPr>
          <w:rFonts w:ascii="Arial"/>
          <w:sz w:val="21"/>
        </w:rPr>
      </w:pPr>
    </w:p>
    <w:p w14:paraId="36880450">
      <w:pPr>
        <w:keepNext w:val="0"/>
        <w:keepLines w:val="0"/>
        <w:pageBreakBefore w:val="0"/>
        <w:widowControl/>
        <w:kinsoku/>
        <w:wordWrap/>
        <w:overflowPunct/>
        <w:topLinePunct w:val="0"/>
        <w:bidi w:val="0"/>
        <w:spacing w:before="101" w:line="222" w:lineRule="auto"/>
        <w:ind w:left="164"/>
        <w:jc w:val="center"/>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第一部分</w:t>
      </w:r>
      <w:r>
        <w:rPr>
          <w:rFonts w:hint="eastAsia" w:asciiTheme="minorEastAsia" w:hAnsiTheme="minorEastAsia" w:eastAsiaTheme="minorEastAsia" w:cstheme="minorEastAsia"/>
          <w:b/>
          <w:bCs/>
          <w:spacing w:val="-9"/>
          <w:sz w:val="32"/>
          <w:szCs w:val="32"/>
          <w:lang w:val="en-US" w:eastAsia="zh-CN"/>
        </w:rPr>
        <w:t xml:space="preserve">  </w:t>
      </w:r>
      <w:r>
        <w:rPr>
          <w:rFonts w:hint="eastAsia" w:asciiTheme="minorEastAsia" w:hAnsiTheme="minorEastAsia" w:eastAsiaTheme="minorEastAsia" w:cstheme="minorEastAsia"/>
          <w:b/>
          <w:bCs/>
          <w:spacing w:val="-9"/>
          <w:sz w:val="32"/>
          <w:szCs w:val="32"/>
        </w:rPr>
        <w:t>指标解释</w:t>
      </w:r>
    </w:p>
    <w:p w14:paraId="24193856">
      <w:pPr>
        <w:keepNext w:val="0"/>
        <w:keepLines w:val="0"/>
        <w:pageBreakBefore w:val="0"/>
        <w:widowControl/>
        <w:kinsoku/>
        <w:wordWrap/>
        <w:overflowPunct/>
        <w:topLinePunct w:val="0"/>
        <w:bidi w:val="0"/>
        <w:spacing w:line="362" w:lineRule="auto"/>
        <w:rPr>
          <w:rFonts w:ascii="Arial"/>
          <w:sz w:val="21"/>
        </w:rPr>
      </w:pPr>
    </w:p>
    <w:p w14:paraId="699E80C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一、经济效益指标</w:t>
      </w:r>
    </w:p>
    <w:p w14:paraId="7244199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为表述方便，本细则中“预算年度经济效益指标”统称为“P”，“预算年度经济效益指标增幅”统称为△P,△P=(预算年度经济效益指标-上年度经济效益指标)÷｜上年度经济效益指标｜。“政策性任务完成率”统称为“S”。</w:t>
      </w:r>
    </w:p>
    <w:p w14:paraId="0B6B9206">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二、人工成本效率指标</w:t>
      </w:r>
    </w:p>
    <w:p w14:paraId="282A4A7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人工成本效率指标反映企业的人工成本投入产出情况，企业可根据实际情况从劳动生产率、人工成本利润率、劳动分配率和人事费用率中选择1个指标。</w:t>
      </w:r>
    </w:p>
    <w:p w14:paraId="304EE93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(一)劳动生产率：反映企业在一个会计年度内职工人均创造的增加值水平，劳动生产率=劳动生产总值÷全年平均职工人数。</w:t>
      </w:r>
    </w:p>
    <w:p w14:paraId="60B0412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（二）劳动分配率：反映企业人工成本占增加值比重。劳动分配率=企业人工成本总额÷劳动生产总值×100%。</w:t>
      </w:r>
    </w:p>
    <w:p w14:paraId="31C645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(三)人事费用率：反映企业人工成本占营业收入比重，人事费用率=企业人工成本总额÷营业收入总额×100%。</w:t>
      </w:r>
    </w:p>
    <w:p w14:paraId="1E5A62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(四)人工成本利润率：反映企业投入的人工成本代价与企业最终获得的以利润表现的经济效益之间的关系，人工成本利润率=利润总额÷企业人工成本总额×100%。</w:t>
      </w:r>
    </w:p>
    <w:p w14:paraId="261A3E21">
      <w:pPr>
        <w:keepNext w:val="0"/>
        <w:keepLines w:val="0"/>
        <w:pageBreakBefore w:val="0"/>
        <w:widowControl/>
        <w:kinsoku/>
        <w:wordWrap/>
        <w:overflowPunct/>
        <w:topLinePunct w:val="0"/>
        <w:bidi w:val="0"/>
        <w:spacing w:before="154" w:line="213" w:lineRule="auto"/>
        <w:ind w:firstLine="692" w:firstLineChars="300"/>
        <w:rPr>
          <w:rFonts w:hint="eastAsia" w:ascii="仿宋" w:hAnsi="仿宋" w:eastAsia="仿宋" w:cs="仿宋"/>
          <w:spacing w:val="9"/>
          <w:sz w:val="21"/>
          <w:szCs w:val="21"/>
        </w:rPr>
      </w:pPr>
      <w:r>
        <w:rPr>
          <w:rFonts w:hint="eastAsia" w:ascii="仿宋" w:hAnsi="仿宋" w:eastAsia="仿宋" w:cs="仿宋"/>
          <w:b/>
          <w:bCs/>
          <w:spacing w:val="10"/>
          <w:sz w:val="21"/>
          <w:szCs w:val="21"/>
        </w:rPr>
        <w:t>备注：</w:t>
      </w:r>
      <w:r>
        <w:rPr>
          <w:rFonts w:hint="eastAsia" w:ascii="仿宋" w:hAnsi="仿宋" w:eastAsia="仿宋" w:cs="仿宋"/>
          <w:spacing w:val="10"/>
          <w:sz w:val="21"/>
          <w:szCs w:val="21"/>
        </w:rPr>
        <w:t>上述指标涉及数据均取自合并财务报表，其中，人工</w:t>
      </w:r>
      <w:r>
        <w:rPr>
          <w:rFonts w:hint="eastAsia" w:ascii="仿宋" w:hAnsi="仿宋" w:eastAsia="仿宋" w:cs="仿宋"/>
          <w:spacing w:val="9"/>
          <w:sz w:val="21"/>
          <w:szCs w:val="21"/>
        </w:rPr>
        <w:t>成本是指由企业在</w:t>
      </w:r>
    </w:p>
    <w:p w14:paraId="4F9DE301">
      <w:pPr>
        <w:keepNext w:val="0"/>
        <w:keepLines w:val="0"/>
        <w:pageBreakBefore w:val="0"/>
        <w:widowControl/>
        <w:kinsoku/>
        <w:wordWrap/>
        <w:overflowPunct/>
        <w:topLinePunct w:val="0"/>
        <w:bidi w:val="0"/>
        <w:spacing w:before="154" w:line="213" w:lineRule="auto"/>
        <w:rPr>
          <w:rFonts w:hint="eastAsia" w:ascii="仿宋" w:hAnsi="仿宋" w:eastAsia="仿宋" w:cs="仿宋"/>
          <w:sz w:val="21"/>
          <w:szCs w:val="21"/>
        </w:rPr>
      </w:pPr>
      <w:r>
        <w:rPr>
          <w:rFonts w:hint="eastAsia" w:ascii="仿宋" w:hAnsi="仿宋" w:eastAsia="仿宋" w:cs="仿宋"/>
          <w:spacing w:val="9"/>
          <w:sz w:val="21"/>
          <w:szCs w:val="21"/>
        </w:rPr>
        <w:t>一个会</w:t>
      </w:r>
      <w:r>
        <w:rPr>
          <w:rFonts w:hint="eastAsia" w:ascii="仿宋" w:hAnsi="仿宋" w:eastAsia="仿宋" w:cs="仿宋"/>
          <w:spacing w:val="-13"/>
          <w:sz w:val="21"/>
          <w:szCs w:val="21"/>
        </w:rPr>
        <w:t>计年度内为与本企业建立劳动关系的全部职工支付的各类劳动报酬的总和，包括工资、奖金、</w:t>
      </w:r>
      <w:r>
        <w:rPr>
          <w:rFonts w:hint="eastAsia" w:ascii="仿宋" w:hAnsi="仿宋" w:eastAsia="仿宋" w:cs="仿宋"/>
          <w:spacing w:val="-10"/>
          <w:sz w:val="21"/>
          <w:szCs w:val="21"/>
        </w:rPr>
        <w:t>津贴、补贴、加班工资、特殊情况下支付的工资、职工福利、社会保险、住</w:t>
      </w:r>
      <w:r>
        <w:rPr>
          <w:rFonts w:hint="eastAsia" w:ascii="仿宋" w:hAnsi="仿宋" w:eastAsia="仿宋" w:cs="仿宋"/>
          <w:spacing w:val="-11"/>
          <w:sz w:val="21"/>
          <w:szCs w:val="21"/>
        </w:rPr>
        <w:t>房公积金、企业</w:t>
      </w:r>
      <w:r>
        <w:rPr>
          <w:rFonts w:hint="eastAsia" w:ascii="仿宋" w:hAnsi="仿宋" w:eastAsia="仿宋" w:cs="仿宋"/>
          <w:spacing w:val="-10"/>
          <w:sz w:val="21"/>
          <w:szCs w:val="21"/>
        </w:rPr>
        <w:t>年金、工会经费、职工教育经费、劳动补偿等。</w:t>
      </w:r>
    </w:p>
    <w:p w14:paraId="62AF64B4">
      <w:pPr>
        <w:keepNext w:val="0"/>
        <w:keepLines w:val="0"/>
        <w:pageBreakBefore w:val="0"/>
        <w:widowControl/>
        <w:kinsoku/>
        <w:wordWrap/>
        <w:overflowPunct/>
        <w:topLinePunct w:val="0"/>
        <w:bidi w:val="0"/>
        <w:spacing w:line="375" w:lineRule="auto"/>
        <w:rPr>
          <w:rFonts w:ascii="Arial"/>
          <w:sz w:val="21"/>
        </w:rPr>
      </w:pPr>
    </w:p>
    <w:p w14:paraId="7B0E5138">
      <w:pPr>
        <w:keepNext w:val="0"/>
        <w:keepLines w:val="0"/>
        <w:pageBreakBefore w:val="0"/>
        <w:widowControl/>
        <w:kinsoku/>
        <w:wordWrap/>
        <w:overflowPunct/>
        <w:topLinePunct w:val="0"/>
        <w:bidi w:val="0"/>
        <w:spacing w:before="101" w:line="222" w:lineRule="auto"/>
        <w:ind w:left="164"/>
        <w:jc w:val="center"/>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第二部分</w:t>
      </w:r>
      <w:r>
        <w:rPr>
          <w:rFonts w:hint="eastAsia" w:asciiTheme="minorEastAsia" w:hAnsiTheme="minorEastAsia" w:eastAsiaTheme="minorEastAsia" w:cstheme="minorEastAsia"/>
          <w:b/>
          <w:bCs/>
          <w:spacing w:val="-9"/>
          <w:sz w:val="32"/>
          <w:szCs w:val="32"/>
          <w:lang w:val="en-US" w:eastAsia="zh-CN"/>
        </w:rPr>
        <w:t xml:space="preserve">  </w:t>
      </w:r>
      <w:r>
        <w:rPr>
          <w:rFonts w:hint="eastAsia" w:asciiTheme="minorEastAsia" w:hAnsiTheme="minorEastAsia" w:eastAsiaTheme="minorEastAsia" w:cstheme="minorEastAsia"/>
          <w:b/>
          <w:bCs/>
          <w:spacing w:val="-9"/>
          <w:sz w:val="32"/>
          <w:szCs w:val="32"/>
        </w:rPr>
        <w:t>细则</w:t>
      </w:r>
    </w:p>
    <w:p w14:paraId="3F6A923D">
      <w:pPr>
        <w:keepNext w:val="0"/>
        <w:keepLines w:val="0"/>
        <w:pageBreakBefore w:val="0"/>
        <w:widowControl/>
        <w:kinsoku/>
        <w:wordWrap/>
        <w:overflowPunct/>
        <w:topLinePunct w:val="0"/>
        <w:bidi w:val="0"/>
        <w:spacing w:line="383" w:lineRule="auto"/>
        <w:rPr>
          <w:rFonts w:ascii="Arial"/>
          <w:sz w:val="21"/>
        </w:rPr>
      </w:pPr>
    </w:p>
    <w:p w14:paraId="4678466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一、工资总额的构成</w:t>
      </w:r>
    </w:p>
    <w:p w14:paraId="31706CB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工资总额=基数工资+效益工资+专项工资</w:t>
      </w:r>
    </w:p>
    <w:p w14:paraId="2BE71D1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二、基数工资确定机制</w:t>
      </w:r>
    </w:p>
    <w:p w14:paraId="50FF2C9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基数工资=基数工资基准数×(1+汕尾市城区上年度CPI增幅×调节系数T</w:t>
      </w:r>
      <w:r>
        <w:rPr>
          <w:rFonts w:hint="eastAsia" w:ascii="仿宋_GB2312" w:hAnsi="仿宋_GB2312" w:eastAsia="仿宋_GB2312" w:cs="仿宋_GB2312"/>
          <w:snapToGrid/>
          <w:kern w:val="0"/>
          <w:sz w:val="18"/>
          <w:szCs w:val="18"/>
          <w:lang w:val="en-US" w:eastAsia="zh-CN" w:bidi="ar-SA"/>
        </w:rPr>
        <w:t>1</w:t>
      </w:r>
      <w:r>
        <w:rPr>
          <w:rFonts w:hint="eastAsia" w:ascii="仿宋_GB2312" w:hAnsi="仿宋_GB2312" w:eastAsia="仿宋_GB2312" w:cs="仿宋_GB2312"/>
          <w:snapToGrid/>
          <w:kern w:val="0"/>
          <w:sz w:val="32"/>
          <w:szCs w:val="32"/>
          <w:lang w:val="en-US" w:eastAsia="zh-CN" w:bidi="ar-SA"/>
        </w:rPr>
        <w:t>)</w:t>
      </w:r>
    </w:p>
    <w:p w14:paraId="5829C2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预算年度CPI增幅≤0时，基数工资不予增长。</w:t>
      </w:r>
    </w:p>
    <w:p w14:paraId="492166AF">
      <w:pPr>
        <w:keepNext w:val="0"/>
        <w:keepLines w:val="0"/>
        <w:pageBreakBefore w:val="0"/>
        <w:widowControl/>
        <w:kinsoku/>
        <w:wordWrap/>
        <w:overflowPunct/>
        <w:topLinePunct w:val="0"/>
        <w:bidi w:val="0"/>
        <w:spacing w:before="1" w:line="221" w:lineRule="auto"/>
        <w:ind w:left="2799"/>
        <w:rPr>
          <w:rFonts w:ascii="仿宋" w:hAnsi="仿宋" w:eastAsia="仿宋" w:cs="仿宋"/>
          <w:sz w:val="24"/>
          <w:szCs w:val="24"/>
        </w:rPr>
      </w:pPr>
      <w:r>
        <w:rPr>
          <w:rFonts w:ascii="仿宋" w:hAnsi="仿宋" w:eastAsia="仿宋" w:cs="仿宋"/>
          <w:spacing w:val="9"/>
          <w:sz w:val="24"/>
          <w:szCs w:val="24"/>
        </w:rPr>
        <w:t>表1</w:t>
      </w:r>
      <w:r>
        <w:rPr>
          <w:rFonts w:hint="eastAsia" w:ascii="仿宋" w:hAnsi="仿宋" w:eastAsia="仿宋" w:cs="仿宋"/>
          <w:spacing w:val="9"/>
          <w:sz w:val="24"/>
          <w:szCs w:val="24"/>
          <w:lang w:eastAsia="zh-CN"/>
        </w:rPr>
        <w:t>：</w:t>
      </w:r>
      <w:r>
        <w:rPr>
          <w:rFonts w:ascii="仿宋" w:hAnsi="仿宋" w:eastAsia="仿宋" w:cs="仿宋"/>
          <w:spacing w:val="9"/>
          <w:sz w:val="24"/>
          <w:szCs w:val="24"/>
        </w:rPr>
        <w:t>基数工资调节系数</w:t>
      </w:r>
      <w:r>
        <w:rPr>
          <w:rFonts w:hint="eastAsia" w:ascii="仿宋_GB2312" w:hAnsi="仿宋_GB2312" w:eastAsia="仿宋_GB2312" w:cs="仿宋_GB2312"/>
          <w:snapToGrid/>
          <w:kern w:val="0"/>
          <w:sz w:val="32"/>
          <w:szCs w:val="32"/>
          <w:lang w:val="en-US" w:eastAsia="zh-CN" w:bidi="ar-SA"/>
        </w:rPr>
        <w:t>T</w:t>
      </w:r>
      <w:r>
        <w:rPr>
          <w:rFonts w:hint="eastAsia" w:ascii="仿宋_GB2312" w:hAnsi="仿宋_GB2312" w:eastAsia="仿宋_GB2312" w:cs="仿宋_GB2312"/>
          <w:snapToGrid/>
          <w:kern w:val="0"/>
          <w:sz w:val="18"/>
          <w:szCs w:val="18"/>
          <w:lang w:val="en-US" w:eastAsia="zh-CN" w:bidi="ar-SA"/>
        </w:rPr>
        <w:t>1</w:t>
      </w:r>
    </w:p>
    <w:p w14:paraId="31971607">
      <w:pPr>
        <w:keepNext w:val="0"/>
        <w:keepLines w:val="0"/>
        <w:pageBreakBefore w:val="0"/>
        <w:widowControl/>
        <w:kinsoku/>
        <w:wordWrap/>
        <w:overflowPunct/>
        <w:topLinePunct w:val="0"/>
        <w:bidi w:val="0"/>
        <w:spacing w:line="40" w:lineRule="exact"/>
      </w:pPr>
    </w:p>
    <w:tbl>
      <w:tblPr>
        <w:tblStyle w:val="6"/>
        <w:tblW w:w="818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7"/>
        <w:gridCol w:w="3720"/>
      </w:tblGrid>
      <w:tr w14:paraId="76EC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232" w:type="dxa"/>
            <w:vMerge w:val="restart"/>
            <w:tcBorders>
              <w:bottom w:val="nil"/>
            </w:tcBorders>
            <w:vAlign w:val="top"/>
          </w:tcPr>
          <w:p w14:paraId="37D3FD79">
            <w:pPr>
              <w:keepNext w:val="0"/>
              <w:keepLines w:val="0"/>
              <w:pageBreakBefore w:val="0"/>
              <w:widowControl/>
              <w:kinsoku/>
              <w:wordWrap/>
              <w:overflowPunct/>
              <w:topLinePunct w:val="0"/>
              <w:bidi w:val="0"/>
              <w:spacing w:before="224" w:line="222" w:lineRule="auto"/>
              <w:ind w:left="184" w:right="67" w:hanging="110"/>
              <w:rPr>
                <w:rFonts w:hint="eastAsia" w:ascii="仿宋" w:hAnsi="仿宋" w:eastAsia="仿宋" w:cs="仿宋"/>
                <w:sz w:val="24"/>
                <w:szCs w:val="24"/>
              </w:rPr>
            </w:pPr>
            <w:r>
              <w:rPr>
                <w:rFonts w:hint="eastAsia" w:ascii="仿宋" w:hAnsi="仿宋" w:eastAsia="仿宋" w:cs="仿宋"/>
                <w:spacing w:val="1"/>
                <w:sz w:val="24"/>
                <w:szCs w:val="24"/>
              </w:rPr>
              <w:t>市场竞争类企业和金</w:t>
            </w:r>
            <w:r>
              <w:rPr>
                <w:rFonts w:hint="eastAsia" w:ascii="仿宋" w:hAnsi="仿宋" w:eastAsia="仿宋" w:cs="仿宋"/>
                <w:spacing w:val="-1"/>
                <w:sz w:val="24"/>
                <w:szCs w:val="24"/>
              </w:rPr>
              <w:t>控投资运营类企业</w:t>
            </w:r>
          </w:p>
        </w:tc>
        <w:tc>
          <w:tcPr>
            <w:tcW w:w="2237" w:type="dxa"/>
            <w:vMerge w:val="restart"/>
            <w:tcBorders>
              <w:bottom w:val="nil"/>
            </w:tcBorders>
            <w:vAlign w:val="top"/>
          </w:tcPr>
          <w:p w14:paraId="0AF22AC2">
            <w:pPr>
              <w:keepNext w:val="0"/>
              <w:keepLines w:val="0"/>
              <w:pageBreakBefore w:val="0"/>
              <w:widowControl/>
              <w:kinsoku/>
              <w:wordWrap/>
              <w:overflowPunct/>
              <w:topLinePunct w:val="0"/>
              <w:bidi w:val="0"/>
              <w:spacing w:line="314" w:lineRule="auto"/>
              <w:rPr>
                <w:rFonts w:hint="eastAsia" w:ascii="仿宋" w:hAnsi="仿宋" w:eastAsia="仿宋" w:cs="仿宋"/>
                <w:sz w:val="24"/>
                <w:szCs w:val="24"/>
              </w:rPr>
            </w:pPr>
          </w:p>
          <w:p w14:paraId="4BE316C3">
            <w:pPr>
              <w:keepNext w:val="0"/>
              <w:keepLines w:val="0"/>
              <w:pageBreakBefore w:val="0"/>
              <w:widowControl/>
              <w:kinsoku/>
              <w:wordWrap/>
              <w:overflowPunct/>
              <w:topLinePunct w:val="0"/>
              <w:bidi w:val="0"/>
              <w:spacing w:before="75" w:line="216" w:lineRule="auto"/>
              <w:ind w:left="652"/>
              <w:rPr>
                <w:rFonts w:hint="eastAsia" w:ascii="仿宋" w:hAnsi="仿宋" w:eastAsia="仿宋" w:cs="仿宋"/>
                <w:sz w:val="24"/>
                <w:szCs w:val="24"/>
              </w:rPr>
            </w:pPr>
            <w:r>
              <w:rPr>
                <w:rFonts w:hint="eastAsia" w:ascii="仿宋" w:hAnsi="仿宋" w:eastAsia="仿宋" w:cs="仿宋"/>
                <w:spacing w:val="-1"/>
                <w:sz w:val="24"/>
                <w:szCs w:val="24"/>
              </w:rPr>
              <w:t>P≥0,T</w:t>
            </w:r>
            <w:r>
              <w:rPr>
                <w:rFonts w:hint="eastAsia" w:ascii="仿宋" w:hAnsi="仿宋" w:eastAsia="仿宋" w:cs="仿宋"/>
                <w:spacing w:val="-1"/>
                <w:sz w:val="18"/>
                <w:szCs w:val="18"/>
                <w:lang w:val="en-US" w:eastAsia="zh-CN"/>
              </w:rPr>
              <w:t>1</w:t>
            </w:r>
            <w:r>
              <w:rPr>
                <w:rFonts w:hint="eastAsia" w:ascii="仿宋" w:hAnsi="仿宋" w:eastAsia="仿宋" w:cs="仿宋"/>
                <w:spacing w:val="-1"/>
                <w:sz w:val="24"/>
                <w:szCs w:val="24"/>
              </w:rPr>
              <w:t>=1</w:t>
            </w:r>
          </w:p>
        </w:tc>
        <w:tc>
          <w:tcPr>
            <w:tcW w:w="3720" w:type="dxa"/>
            <w:vAlign w:val="top"/>
          </w:tcPr>
          <w:p w14:paraId="1147008C">
            <w:pPr>
              <w:keepNext w:val="0"/>
              <w:keepLines w:val="0"/>
              <w:pageBreakBefore w:val="0"/>
              <w:widowControl/>
              <w:kinsoku/>
              <w:wordWrap/>
              <w:overflowPunct/>
              <w:topLinePunct w:val="0"/>
              <w:bidi w:val="0"/>
              <w:spacing w:before="131" w:line="216" w:lineRule="auto"/>
              <w:ind w:left="935"/>
              <w:rPr>
                <w:rFonts w:hint="eastAsia" w:ascii="仿宋" w:hAnsi="仿宋" w:eastAsia="仿宋" w:cs="仿宋"/>
                <w:sz w:val="24"/>
                <w:szCs w:val="24"/>
              </w:rPr>
            </w:pPr>
            <w:r>
              <w:rPr>
                <w:rFonts w:hint="eastAsia" w:ascii="仿宋" w:hAnsi="仿宋" w:eastAsia="仿宋" w:cs="仿宋"/>
                <w:spacing w:val="-1"/>
                <w:sz w:val="24"/>
                <w:szCs w:val="24"/>
              </w:rPr>
              <w:t>P&lt;0,△P≥0,</w:t>
            </w:r>
            <w:r>
              <w:rPr>
                <w:rFonts w:hint="eastAsia" w:ascii="仿宋_GB2312" w:hAnsi="仿宋_GB2312" w:eastAsia="仿宋_GB2312" w:cs="仿宋_GB2312"/>
                <w:snapToGrid/>
                <w:kern w:val="0"/>
                <w:sz w:val="24"/>
                <w:szCs w:val="24"/>
                <w:lang w:val="en-US" w:eastAsia="zh-CN" w:bidi="ar-SA"/>
              </w:rPr>
              <w:t>T</w:t>
            </w:r>
            <w:r>
              <w:rPr>
                <w:rFonts w:hint="eastAsia" w:ascii="仿宋_GB2312" w:hAnsi="仿宋_GB2312" w:eastAsia="仿宋_GB2312" w:cs="仿宋_GB2312"/>
                <w:snapToGrid/>
                <w:kern w:val="0"/>
                <w:sz w:val="13"/>
                <w:szCs w:val="13"/>
                <w:lang w:val="en-US" w:eastAsia="zh-CN" w:bidi="ar-SA"/>
              </w:rPr>
              <w:t>1</w:t>
            </w:r>
            <w:r>
              <w:rPr>
                <w:rFonts w:hint="eastAsia" w:ascii="仿宋" w:hAnsi="仿宋" w:eastAsia="仿宋" w:cs="仿宋"/>
                <w:spacing w:val="-1"/>
                <w:sz w:val="24"/>
                <w:szCs w:val="24"/>
              </w:rPr>
              <w:t>=0.5</w:t>
            </w:r>
          </w:p>
        </w:tc>
      </w:tr>
      <w:tr w14:paraId="2AC74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2232" w:type="dxa"/>
            <w:vMerge w:val="continue"/>
            <w:tcBorders>
              <w:top w:val="nil"/>
            </w:tcBorders>
            <w:vAlign w:val="top"/>
          </w:tcPr>
          <w:p w14:paraId="1B9A97FB">
            <w:pPr>
              <w:keepNext w:val="0"/>
              <w:keepLines w:val="0"/>
              <w:pageBreakBefore w:val="0"/>
              <w:widowControl/>
              <w:kinsoku/>
              <w:wordWrap/>
              <w:overflowPunct/>
              <w:topLinePunct w:val="0"/>
              <w:bidi w:val="0"/>
              <w:rPr>
                <w:rFonts w:hint="eastAsia" w:ascii="仿宋" w:hAnsi="仿宋" w:eastAsia="仿宋" w:cs="仿宋"/>
                <w:sz w:val="24"/>
                <w:szCs w:val="24"/>
              </w:rPr>
            </w:pPr>
          </w:p>
        </w:tc>
        <w:tc>
          <w:tcPr>
            <w:tcW w:w="2237" w:type="dxa"/>
            <w:vMerge w:val="continue"/>
            <w:tcBorders>
              <w:top w:val="nil"/>
            </w:tcBorders>
            <w:vAlign w:val="top"/>
          </w:tcPr>
          <w:p w14:paraId="4F811610">
            <w:pPr>
              <w:keepNext w:val="0"/>
              <w:keepLines w:val="0"/>
              <w:pageBreakBefore w:val="0"/>
              <w:widowControl/>
              <w:kinsoku/>
              <w:wordWrap/>
              <w:overflowPunct/>
              <w:topLinePunct w:val="0"/>
              <w:bidi w:val="0"/>
              <w:rPr>
                <w:rFonts w:hint="eastAsia" w:ascii="仿宋" w:hAnsi="仿宋" w:eastAsia="仿宋" w:cs="仿宋"/>
                <w:sz w:val="24"/>
                <w:szCs w:val="24"/>
              </w:rPr>
            </w:pPr>
          </w:p>
        </w:tc>
        <w:tc>
          <w:tcPr>
            <w:tcW w:w="3720" w:type="dxa"/>
            <w:vAlign w:val="top"/>
          </w:tcPr>
          <w:p w14:paraId="60D975FE">
            <w:pPr>
              <w:keepNext w:val="0"/>
              <w:keepLines w:val="0"/>
              <w:pageBreakBefore w:val="0"/>
              <w:widowControl/>
              <w:kinsoku/>
              <w:wordWrap/>
              <w:overflowPunct/>
              <w:topLinePunct w:val="0"/>
              <w:bidi w:val="0"/>
              <w:spacing w:before="140" w:line="216" w:lineRule="auto"/>
              <w:ind w:left="1105"/>
              <w:rPr>
                <w:rFonts w:hint="eastAsia" w:ascii="仿宋" w:hAnsi="仿宋" w:eastAsia="仿宋" w:cs="仿宋"/>
                <w:sz w:val="24"/>
                <w:szCs w:val="24"/>
              </w:rPr>
            </w:pPr>
            <w:r>
              <w:rPr>
                <w:rFonts w:hint="eastAsia" w:ascii="仿宋" w:hAnsi="仿宋" w:eastAsia="仿宋" w:cs="仿宋"/>
                <w:spacing w:val="-1"/>
                <w:sz w:val="24"/>
                <w:szCs w:val="24"/>
              </w:rPr>
              <w:t>P&lt;0,△P&lt;0,</w:t>
            </w:r>
            <w:r>
              <w:rPr>
                <w:rFonts w:hint="eastAsia" w:ascii="仿宋_GB2312" w:hAnsi="仿宋_GB2312" w:eastAsia="仿宋_GB2312" w:cs="仿宋_GB2312"/>
                <w:snapToGrid/>
                <w:kern w:val="0"/>
                <w:sz w:val="24"/>
                <w:szCs w:val="24"/>
                <w:lang w:val="en-US" w:eastAsia="zh-CN" w:bidi="ar-SA"/>
              </w:rPr>
              <w:t>T</w:t>
            </w:r>
            <w:r>
              <w:rPr>
                <w:rFonts w:hint="eastAsia" w:ascii="仿宋_GB2312" w:hAnsi="仿宋_GB2312" w:eastAsia="仿宋_GB2312" w:cs="仿宋_GB2312"/>
                <w:snapToGrid/>
                <w:kern w:val="0"/>
                <w:sz w:val="13"/>
                <w:szCs w:val="13"/>
                <w:lang w:val="en-US" w:eastAsia="zh-CN" w:bidi="ar-SA"/>
              </w:rPr>
              <w:t>1</w:t>
            </w:r>
            <w:r>
              <w:rPr>
                <w:rFonts w:hint="eastAsia" w:ascii="仿宋" w:hAnsi="仿宋" w:eastAsia="仿宋" w:cs="仿宋"/>
                <w:spacing w:val="-1"/>
                <w:sz w:val="24"/>
                <w:szCs w:val="24"/>
              </w:rPr>
              <w:t>=0</w:t>
            </w:r>
          </w:p>
        </w:tc>
      </w:tr>
      <w:tr w14:paraId="41EF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2" w:type="dxa"/>
            <w:vAlign w:val="top"/>
          </w:tcPr>
          <w:p w14:paraId="04C8A1CC">
            <w:pPr>
              <w:keepNext w:val="0"/>
              <w:keepLines w:val="0"/>
              <w:pageBreakBefore w:val="0"/>
              <w:widowControl/>
              <w:kinsoku/>
              <w:wordWrap/>
              <w:overflowPunct/>
              <w:topLinePunct w:val="0"/>
              <w:bidi w:val="0"/>
              <w:spacing w:before="137" w:line="219" w:lineRule="auto"/>
              <w:ind w:left="304"/>
              <w:rPr>
                <w:rFonts w:hint="eastAsia" w:ascii="仿宋" w:hAnsi="仿宋" w:eastAsia="仿宋" w:cs="仿宋"/>
                <w:sz w:val="24"/>
                <w:szCs w:val="24"/>
              </w:rPr>
            </w:pPr>
            <w:r>
              <w:rPr>
                <w:rFonts w:hint="eastAsia" w:ascii="仿宋" w:hAnsi="仿宋" w:eastAsia="仿宋" w:cs="仿宋"/>
                <w:spacing w:val="1"/>
                <w:sz w:val="24"/>
                <w:szCs w:val="24"/>
              </w:rPr>
              <w:t>公益基础类企业</w:t>
            </w:r>
          </w:p>
        </w:tc>
        <w:tc>
          <w:tcPr>
            <w:tcW w:w="5957" w:type="dxa"/>
            <w:gridSpan w:val="2"/>
            <w:vAlign w:val="top"/>
          </w:tcPr>
          <w:p w14:paraId="21BB54C6">
            <w:pPr>
              <w:keepNext w:val="0"/>
              <w:keepLines w:val="0"/>
              <w:pageBreakBefore w:val="0"/>
              <w:widowControl/>
              <w:kinsoku/>
              <w:wordWrap/>
              <w:overflowPunct/>
              <w:topLinePunct w:val="0"/>
              <w:bidi w:val="0"/>
              <w:spacing w:before="134" w:line="216" w:lineRule="auto"/>
              <w:ind w:left="1822"/>
              <w:rPr>
                <w:rFonts w:hint="eastAsia" w:ascii="仿宋" w:hAnsi="仿宋" w:eastAsia="仿宋" w:cs="仿宋"/>
                <w:sz w:val="24"/>
                <w:szCs w:val="24"/>
                <w:lang w:eastAsia="zh-CN"/>
              </w:rPr>
            </w:pPr>
            <w:r>
              <w:rPr>
                <w:rFonts w:hint="eastAsia" w:ascii="仿宋" w:hAnsi="仿宋" w:eastAsia="仿宋" w:cs="仿宋"/>
                <w:spacing w:val="1"/>
                <w:sz w:val="24"/>
                <w:szCs w:val="24"/>
              </w:rPr>
              <w:t>T</w:t>
            </w:r>
            <w:r>
              <w:rPr>
                <w:rFonts w:hint="eastAsia" w:ascii="仿宋" w:hAnsi="仿宋" w:eastAsia="仿宋" w:cs="仿宋"/>
                <w:spacing w:val="1"/>
                <w:sz w:val="18"/>
                <w:szCs w:val="18"/>
                <w:lang w:val="en-US" w:eastAsia="zh-CN"/>
              </w:rPr>
              <w:t>1</w:t>
            </w:r>
            <w:r>
              <w:rPr>
                <w:rFonts w:hint="eastAsia" w:ascii="仿宋" w:hAnsi="仿宋" w:eastAsia="仿宋" w:cs="仿宋"/>
                <w:spacing w:val="1"/>
                <w:sz w:val="24"/>
                <w:szCs w:val="24"/>
              </w:rPr>
              <w:t>=政策性任务完成率</w:t>
            </w:r>
            <w:r>
              <w:rPr>
                <w:rFonts w:hint="eastAsia" w:ascii="仿宋" w:hAnsi="仿宋" w:eastAsia="仿宋" w:cs="仿宋"/>
                <w:spacing w:val="1"/>
                <w:sz w:val="21"/>
                <w:szCs w:val="21"/>
                <w:lang w:val="en-US" w:eastAsia="zh-CN"/>
              </w:rPr>
              <w:t>S</w:t>
            </w:r>
          </w:p>
        </w:tc>
      </w:tr>
    </w:tbl>
    <w:p w14:paraId="3C4C96EE">
      <w:pPr>
        <w:keepNext w:val="0"/>
        <w:keepLines w:val="0"/>
        <w:pageBreakBefore w:val="0"/>
        <w:widowControl/>
        <w:kinsoku/>
        <w:wordWrap/>
        <w:overflowPunct/>
        <w:topLinePunct w:val="0"/>
        <w:autoSpaceDE w:val="0"/>
        <w:autoSpaceDN w:val="0"/>
        <w:bidi w:val="0"/>
        <w:adjustRightInd w:val="0"/>
        <w:snapToGrid w:val="0"/>
        <w:spacing w:line="214" w:lineRule="auto"/>
        <w:ind w:left="771"/>
        <w:textAlignment w:val="baseline"/>
        <w:rPr>
          <w:rFonts w:hint="eastAsia" w:ascii="仿宋" w:hAnsi="仿宋" w:eastAsia="仿宋" w:cs="仿宋"/>
          <w:b/>
          <w:bCs/>
          <w:spacing w:val="10"/>
          <w:sz w:val="21"/>
          <w:szCs w:val="21"/>
        </w:rPr>
      </w:pPr>
    </w:p>
    <w:p w14:paraId="3B3B8CC8">
      <w:pPr>
        <w:keepNext w:val="0"/>
        <w:keepLines w:val="0"/>
        <w:pageBreakBefore w:val="0"/>
        <w:widowControl/>
        <w:kinsoku/>
        <w:wordWrap/>
        <w:overflowPunct/>
        <w:topLinePunct w:val="0"/>
        <w:autoSpaceDE w:val="0"/>
        <w:autoSpaceDN w:val="0"/>
        <w:bidi w:val="0"/>
        <w:adjustRightInd w:val="0"/>
        <w:snapToGrid w:val="0"/>
        <w:spacing w:line="214" w:lineRule="auto"/>
        <w:textAlignment w:val="baseline"/>
        <w:rPr>
          <w:rFonts w:hint="eastAsia" w:ascii="仿宋" w:hAnsi="仿宋" w:eastAsia="仿宋" w:cs="仿宋"/>
          <w:b w:val="0"/>
          <w:bCs w:val="0"/>
          <w:color w:val="auto"/>
          <w:spacing w:val="10"/>
          <w:sz w:val="21"/>
          <w:szCs w:val="21"/>
          <w:lang w:eastAsia="zh-CN"/>
        </w:rPr>
      </w:pPr>
      <w:r>
        <w:rPr>
          <w:rFonts w:hint="eastAsia" w:ascii="仿宋" w:hAnsi="仿宋" w:eastAsia="仿宋" w:cs="仿宋"/>
          <w:b w:val="0"/>
          <w:bCs w:val="0"/>
          <w:spacing w:val="10"/>
          <w:sz w:val="21"/>
          <w:szCs w:val="21"/>
        </w:rPr>
        <w:t>备注：1.政策性任务完成率S计算方式如下：假设年度政策性任务只有一项为A</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设定该任务包含三项里程碑工作事项分别为A1、A2、A3</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如果里程碑工作事项只完成A1</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则政策性任务完成率S</w:t>
      </w:r>
      <w:r>
        <w:rPr>
          <w:rFonts w:hint="eastAsia" w:ascii="仿宋" w:hAnsi="仿宋" w:eastAsia="仿宋" w:cs="仿宋"/>
          <w:b w:val="0"/>
          <w:bCs w:val="0"/>
          <w:spacing w:val="10"/>
          <w:sz w:val="21"/>
          <w:szCs w:val="21"/>
          <w:lang w:val="en-US" w:eastAsia="zh-CN"/>
        </w:rPr>
        <w:t>=</w:t>
      </w:r>
      <w:r>
        <w:rPr>
          <w:rFonts w:hint="eastAsia" w:ascii="仿宋" w:hAnsi="仿宋" w:eastAsia="仿宋" w:cs="仿宋"/>
          <w:b w:val="0"/>
          <w:bCs w:val="0"/>
          <w:spacing w:val="10"/>
          <w:sz w:val="21"/>
          <w:szCs w:val="21"/>
        </w:rPr>
        <w:t>A1/(A1+A2+A3)</w:t>
      </w:r>
      <w:r>
        <w:rPr>
          <w:rFonts w:hint="eastAsia" w:ascii="仿宋" w:hAnsi="仿宋" w:eastAsia="仿宋" w:cs="仿宋"/>
          <w:spacing w:val="1"/>
          <w:sz w:val="24"/>
          <w:szCs w:val="24"/>
        </w:rPr>
        <w:t>*</w:t>
      </w:r>
      <w:r>
        <w:rPr>
          <w:rFonts w:hint="eastAsia" w:ascii="仿宋" w:hAnsi="仿宋" w:eastAsia="仿宋" w:cs="仿宋"/>
          <w:b w:val="0"/>
          <w:bCs w:val="0"/>
          <w:spacing w:val="10"/>
          <w:sz w:val="21"/>
          <w:szCs w:val="21"/>
        </w:rPr>
        <w:t>100%。其中，公式中A1、A2</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A3均代表里程碑工作事项完成情况，均为1</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以下同；如果里程碑工作事项完成A1和A2</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则政策性任务完成</w:t>
      </w:r>
      <w:r>
        <w:rPr>
          <w:rFonts w:hint="eastAsia" w:ascii="仿宋" w:hAnsi="仿宋" w:eastAsia="仿宋" w:cs="仿宋"/>
          <w:b w:val="0"/>
          <w:bCs w:val="0"/>
          <w:color w:val="auto"/>
          <w:spacing w:val="10"/>
          <w:sz w:val="21"/>
          <w:szCs w:val="21"/>
        </w:rPr>
        <w:t>率S</w:t>
      </w:r>
      <w:r>
        <w:rPr>
          <w:rFonts w:hint="eastAsia" w:ascii="仿宋" w:hAnsi="仿宋" w:eastAsia="仿宋" w:cs="仿宋"/>
          <w:b w:val="0"/>
          <w:bCs w:val="0"/>
          <w:color w:val="auto"/>
          <w:spacing w:val="10"/>
          <w:sz w:val="21"/>
          <w:szCs w:val="21"/>
          <w:lang w:val="en-US" w:eastAsia="zh-CN"/>
        </w:rPr>
        <w:t>=</w:t>
      </w:r>
      <w:r>
        <w:rPr>
          <w:rFonts w:hint="eastAsia" w:ascii="仿宋" w:hAnsi="仿宋" w:eastAsia="仿宋" w:cs="仿宋"/>
          <w:b w:val="0"/>
          <w:bCs w:val="0"/>
          <w:color w:val="auto"/>
          <w:spacing w:val="10"/>
          <w:sz w:val="21"/>
          <w:szCs w:val="21"/>
        </w:rPr>
        <w:t>(A1+A2)/(A1+A2+A3)</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rPr>
        <w:t>假设年度政策性任务大于等于两项，如有A和B两项任务，政策性任务完成率S</w:t>
      </w:r>
      <w:r>
        <w:rPr>
          <w:rFonts w:hint="eastAsia" w:ascii="仿宋" w:hAnsi="仿宋" w:eastAsia="仿宋" w:cs="仿宋"/>
          <w:b w:val="0"/>
          <w:bCs w:val="0"/>
          <w:color w:val="auto"/>
          <w:spacing w:val="10"/>
          <w:sz w:val="21"/>
          <w:szCs w:val="21"/>
          <w:lang w:val="en-US" w:eastAsia="zh-CN"/>
        </w:rPr>
        <w:t>=</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lang w:val="en-US" w:eastAsia="zh-CN"/>
        </w:rPr>
        <w:t>A</w:t>
      </w:r>
      <w:r>
        <w:rPr>
          <w:rFonts w:hint="eastAsia" w:ascii="仿宋" w:hAnsi="仿宋" w:eastAsia="仿宋" w:cs="仿宋"/>
          <w:b w:val="0"/>
          <w:bCs w:val="0"/>
          <w:color w:val="auto"/>
          <w:spacing w:val="10"/>
          <w:sz w:val="21"/>
          <w:szCs w:val="21"/>
        </w:rPr>
        <w:t>的完成率+</w:t>
      </w:r>
      <w:r>
        <w:rPr>
          <w:rFonts w:hint="eastAsia" w:ascii="仿宋" w:hAnsi="仿宋" w:eastAsia="仿宋" w:cs="仿宋"/>
          <w:b w:val="0"/>
          <w:bCs w:val="0"/>
          <w:color w:val="auto"/>
          <w:spacing w:val="10"/>
          <w:sz w:val="21"/>
          <w:szCs w:val="21"/>
          <w:lang w:val="en-US" w:eastAsia="zh-CN"/>
        </w:rPr>
        <w:t>B</w:t>
      </w:r>
      <w:r>
        <w:rPr>
          <w:rFonts w:hint="eastAsia" w:ascii="仿宋" w:hAnsi="仿宋" w:eastAsia="仿宋" w:cs="仿宋"/>
          <w:b w:val="0"/>
          <w:bCs w:val="0"/>
          <w:color w:val="auto"/>
          <w:spacing w:val="10"/>
          <w:sz w:val="21"/>
          <w:szCs w:val="21"/>
        </w:rPr>
        <w:t>的完成率</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b w:val="0"/>
          <w:bCs w:val="0"/>
          <w:color w:val="auto"/>
          <w:spacing w:val="10"/>
          <w:sz w:val="21"/>
          <w:szCs w:val="21"/>
        </w:rPr>
        <w:t>/(A+B)</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100%。其中，公式中A、B均代表工作事项完成情况，均为1</w:t>
      </w:r>
      <w:r>
        <w:rPr>
          <w:rFonts w:hint="eastAsia" w:ascii="仿宋" w:hAnsi="仿宋" w:eastAsia="仿宋" w:cs="仿宋"/>
          <w:b w:val="0"/>
          <w:bCs w:val="0"/>
          <w:color w:val="auto"/>
          <w:spacing w:val="10"/>
          <w:sz w:val="21"/>
          <w:szCs w:val="21"/>
          <w:lang w:eastAsia="zh-CN"/>
        </w:rPr>
        <w:t>。</w:t>
      </w:r>
    </w:p>
    <w:p w14:paraId="37C8F45B">
      <w:pPr>
        <w:keepNext w:val="0"/>
        <w:keepLines w:val="0"/>
        <w:pageBreakBefore w:val="0"/>
        <w:widowControl/>
        <w:kinsoku/>
        <w:wordWrap/>
        <w:overflowPunct/>
        <w:topLinePunct w:val="0"/>
        <w:autoSpaceDE w:val="0"/>
        <w:autoSpaceDN w:val="0"/>
        <w:bidi w:val="0"/>
        <w:adjustRightInd w:val="0"/>
        <w:snapToGrid w:val="0"/>
        <w:spacing w:line="214" w:lineRule="auto"/>
        <w:textAlignment w:val="baseline"/>
        <w:rPr>
          <w:rFonts w:hint="eastAsia" w:ascii="仿宋" w:hAnsi="仿宋" w:eastAsia="仿宋" w:cs="仿宋"/>
          <w:b w:val="0"/>
          <w:bCs w:val="0"/>
          <w:color w:val="auto"/>
          <w:spacing w:val="10"/>
          <w:sz w:val="21"/>
          <w:szCs w:val="21"/>
        </w:rPr>
      </w:pPr>
      <w:r>
        <w:rPr>
          <w:rFonts w:hint="eastAsia" w:ascii="仿宋" w:hAnsi="仿宋" w:eastAsia="仿宋" w:cs="仿宋"/>
          <w:b w:val="0"/>
          <w:bCs w:val="0"/>
          <w:color w:val="auto"/>
          <w:spacing w:val="10"/>
          <w:sz w:val="21"/>
          <w:szCs w:val="21"/>
        </w:rPr>
        <w:t>2.P以利润总额为主。</w:t>
      </w:r>
    </w:p>
    <w:p w14:paraId="7B07C77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三、效益工资确定机制</w:t>
      </w:r>
    </w:p>
    <w:p w14:paraId="2171C461">
      <w:pPr>
        <w:keepNext w:val="0"/>
        <w:keepLines w:val="0"/>
        <w:pageBreakBefore w:val="0"/>
        <w:widowControl/>
        <w:kinsoku/>
        <w:wordWrap/>
        <w:overflowPunct/>
        <w:topLinePunct w:val="0"/>
        <w:bidi w:val="0"/>
        <w:spacing w:before="146" w:line="222" w:lineRule="auto"/>
        <w:ind w:firstLine="672" w:firstLineChars="200"/>
        <w:rPr>
          <w:rFonts w:ascii="仿宋" w:hAnsi="仿宋" w:eastAsia="仿宋" w:cs="仿宋"/>
          <w:sz w:val="32"/>
          <w:szCs w:val="32"/>
        </w:rPr>
      </w:pPr>
      <w:r>
        <w:rPr>
          <w:rFonts w:ascii="仿宋" w:hAnsi="仿宋" w:eastAsia="仿宋" w:cs="仿宋"/>
          <w:spacing w:val="8"/>
          <w:sz w:val="32"/>
          <w:szCs w:val="32"/>
        </w:rPr>
        <w:t>效益工资=效益工资基准数×(1+工效联动系数)</w:t>
      </w:r>
    </w:p>
    <w:p w14:paraId="2748DD70">
      <w:pPr>
        <w:keepNext w:val="0"/>
        <w:keepLines w:val="0"/>
        <w:pageBreakBefore w:val="0"/>
        <w:widowControl/>
        <w:kinsoku/>
        <w:wordWrap/>
        <w:overflowPunct/>
        <w:topLinePunct w:val="0"/>
        <w:bidi w:val="0"/>
        <w:spacing w:before="164" w:line="582" w:lineRule="exact"/>
        <w:ind w:firstLine="644" w:firstLineChars="200"/>
        <w:rPr>
          <w:rFonts w:ascii="仿宋" w:hAnsi="仿宋" w:eastAsia="仿宋" w:cs="仿宋"/>
          <w:sz w:val="32"/>
          <w:szCs w:val="32"/>
        </w:rPr>
      </w:pPr>
      <w:r>
        <w:rPr>
          <w:rFonts w:ascii="仿宋" w:hAnsi="仿宋" w:eastAsia="仿宋" w:cs="仿宋"/>
          <w:spacing w:val="1"/>
          <w:position w:val="20"/>
          <w:sz w:val="32"/>
          <w:szCs w:val="32"/>
        </w:rPr>
        <w:t>工效联动系数=主效益联动系数α×辅助联动系数β×</w:t>
      </w:r>
    </w:p>
    <w:p w14:paraId="2B0EC30B">
      <w:pPr>
        <w:keepNext w:val="0"/>
        <w:keepLines w:val="0"/>
        <w:pageBreakBefore w:val="0"/>
        <w:widowControl/>
        <w:kinsoku/>
        <w:wordWrap/>
        <w:overflowPunct/>
        <w:topLinePunct w:val="0"/>
        <w:bidi w:val="0"/>
        <w:spacing w:before="1" w:line="221" w:lineRule="auto"/>
        <w:ind w:left="140"/>
        <w:rPr>
          <w:rFonts w:hint="eastAsia" w:ascii="仿宋" w:hAnsi="仿宋" w:eastAsia="仿宋" w:cs="仿宋"/>
          <w:sz w:val="31"/>
          <w:szCs w:val="31"/>
        </w:rPr>
      </w:pPr>
      <w:r>
        <w:rPr>
          <w:rFonts w:ascii="仿宋" w:hAnsi="仿宋" w:eastAsia="仿宋" w:cs="仿宋"/>
          <w:spacing w:val="-3"/>
          <w:sz w:val="32"/>
          <w:szCs w:val="32"/>
        </w:rPr>
        <w:t>工资水平调节系数</w:t>
      </w:r>
      <w:r>
        <w:rPr>
          <w:rFonts w:hint="eastAsia" w:ascii="仿宋" w:hAnsi="仿宋" w:eastAsia="仿宋" w:cs="仿宋"/>
          <w:spacing w:val="-3"/>
          <w:sz w:val="32"/>
          <w:szCs w:val="32"/>
        </w:rPr>
        <w:t>γ</w:t>
      </w:r>
    </w:p>
    <w:p w14:paraId="2C47DD3C">
      <w:pPr>
        <w:keepNext w:val="0"/>
        <w:keepLines w:val="0"/>
        <w:pageBreakBefore w:val="0"/>
        <w:widowControl/>
        <w:kinsoku/>
        <w:wordWrap/>
        <w:overflowPunct/>
        <w:topLinePunct w:val="0"/>
        <w:bidi w:val="0"/>
        <w:spacing w:before="166" w:line="223" w:lineRule="auto"/>
        <w:ind w:firstLine="699" w:firstLineChars="200"/>
        <w:rPr>
          <w:rFonts w:hint="eastAsia" w:ascii="仿宋" w:hAnsi="仿宋" w:eastAsia="仿宋" w:cs="仿宋"/>
          <w:sz w:val="32"/>
          <w:szCs w:val="32"/>
          <w:lang w:val="en-US" w:eastAsia="zh-CN"/>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一</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主效益联动系数α</w:t>
      </w:r>
    </w:p>
    <w:p w14:paraId="379C09D3">
      <w:pPr>
        <w:keepNext w:val="0"/>
        <w:keepLines w:val="0"/>
        <w:pageBreakBefore w:val="0"/>
        <w:widowControl/>
        <w:kinsoku/>
        <w:wordWrap/>
        <w:overflowPunct/>
        <w:topLinePunct w:val="0"/>
        <w:bidi w:val="0"/>
        <w:spacing w:before="170" w:line="223" w:lineRule="auto"/>
        <w:ind w:left="770"/>
        <w:rPr>
          <w:rFonts w:ascii="仿宋" w:hAnsi="仿宋" w:eastAsia="仿宋" w:cs="仿宋"/>
          <w:sz w:val="32"/>
          <w:szCs w:val="32"/>
        </w:rPr>
      </w:pPr>
      <w:r>
        <w:rPr>
          <w:rFonts w:ascii="仿宋" w:hAnsi="仿宋" w:eastAsia="仿宋" w:cs="仿宋"/>
          <w:spacing w:val="-8"/>
          <w:sz w:val="32"/>
          <w:szCs w:val="32"/>
        </w:rPr>
        <w:t>主效益联动系数α由△P决定。</w:t>
      </w:r>
    </w:p>
    <w:p w14:paraId="273F9F41">
      <w:pPr>
        <w:keepNext w:val="0"/>
        <w:keepLines w:val="0"/>
        <w:pageBreakBefore w:val="0"/>
        <w:widowControl/>
        <w:kinsoku/>
        <w:wordWrap/>
        <w:overflowPunct/>
        <w:topLinePunct w:val="0"/>
        <w:bidi w:val="0"/>
        <w:rPr>
          <w:sz w:val="32"/>
          <w:szCs w:val="32"/>
        </w:rPr>
        <w:sectPr>
          <w:footerReference r:id="rId7" w:type="default"/>
          <w:pgSz w:w="12000" w:h="16960"/>
          <w:pgMar w:top="1441" w:right="1800" w:bottom="1496" w:left="1800" w:header="0" w:footer="1317" w:gutter="0"/>
          <w:pgNumType w:fmt="decimal"/>
          <w:cols w:space="720" w:num="1"/>
        </w:sectPr>
      </w:pPr>
    </w:p>
    <w:p w14:paraId="23DC885F">
      <w:pPr>
        <w:keepNext w:val="0"/>
        <w:keepLines w:val="0"/>
        <w:pageBreakBefore w:val="0"/>
        <w:widowControl/>
        <w:kinsoku/>
        <w:wordWrap/>
        <w:overflowPunct/>
        <w:topLinePunct w:val="0"/>
        <w:bidi w:val="0"/>
        <w:spacing w:line="422" w:lineRule="auto"/>
        <w:rPr>
          <w:rFonts w:ascii="Arial"/>
          <w:sz w:val="21"/>
        </w:rPr>
      </w:pPr>
    </w:p>
    <w:p w14:paraId="2A3F325B">
      <w:pPr>
        <w:keepNext w:val="0"/>
        <w:keepLines w:val="0"/>
        <w:pageBreakBefore w:val="0"/>
        <w:widowControl/>
        <w:kinsoku/>
        <w:wordWrap/>
        <w:overflowPunct/>
        <w:topLinePunct w:val="0"/>
        <w:bidi w:val="0"/>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表2</w:t>
      </w:r>
      <w:r>
        <w:rPr>
          <w:rFonts w:hint="eastAsia" w:ascii="仿宋" w:hAnsi="仿宋" w:eastAsia="仿宋" w:cs="仿宋"/>
          <w:spacing w:val="9"/>
          <w:sz w:val="24"/>
          <w:szCs w:val="24"/>
          <w:lang w:eastAsia="zh-CN"/>
        </w:rPr>
        <w:t>：</w:t>
      </w:r>
      <w:r>
        <w:rPr>
          <w:rFonts w:ascii="仿宋" w:hAnsi="仿宋" w:eastAsia="仿宋" w:cs="仿宋"/>
          <w:spacing w:val="9"/>
          <w:sz w:val="24"/>
          <w:szCs w:val="24"/>
        </w:rPr>
        <w:t>主效益联动系数</w:t>
      </w:r>
      <w:r>
        <w:rPr>
          <w:rFonts w:hint="eastAsia" w:ascii="仿宋" w:hAnsi="仿宋" w:eastAsia="仿宋" w:cs="仿宋"/>
          <w:spacing w:val="9"/>
          <w:sz w:val="24"/>
          <w:szCs w:val="24"/>
        </w:rPr>
        <w:t>α</w:t>
      </w:r>
      <w:r>
        <w:rPr>
          <w:rFonts w:ascii="仿宋" w:hAnsi="仿宋" w:eastAsia="仿宋" w:cs="仿宋"/>
          <w:spacing w:val="9"/>
          <w:sz w:val="24"/>
          <w:szCs w:val="24"/>
        </w:rPr>
        <w:t>计提比例</w:t>
      </w:r>
    </w:p>
    <w:p w14:paraId="7F3C4C51">
      <w:pPr>
        <w:keepNext w:val="0"/>
        <w:keepLines w:val="0"/>
        <w:pageBreakBefore w:val="0"/>
        <w:widowControl/>
        <w:kinsoku/>
        <w:wordWrap/>
        <w:overflowPunct/>
        <w:topLinePunct w:val="0"/>
        <w:bidi w:val="0"/>
        <w:spacing w:line="50" w:lineRule="exact"/>
      </w:pPr>
    </w:p>
    <w:tbl>
      <w:tblPr>
        <w:tblStyle w:val="6"/>
        <w:tblW w:w="8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307"/>
        <w:gridCol w:w="3161"/>
      </w:tblGrid>
      <w:tr w14:paraId="2A58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32" w:type="dxa"/>
            <w:vAlign w:val="top"/>
          </w:tcPr>
          <w:p w14:paraId="34B6A6F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效益增幅△P</w:t>
            </w:r>
          </w:p>
        </w:tc>
        <w:tc>
          <w:tcPr>
            <w:tcW w:w="2307" w:type="dxa"/>
            <w:vAlign w:val="top"/>
          </w:tcPr>
          <w:p w14:paraId="601B35A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分段计提比例</w:t>
            </w:r>
          </w:p>
        </w:tc>
        <w:tc>
          <w:tcPr>
            <w:tcW w:w="3161" w:type="dxa"/>
            <w:vAlign w:val="top"/>
          </w:tcPr>
          <w:p w14:paraId="6B8EC86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主效益联动系数α=速算数+超出部分*计提比例</w:t>
            </w:r>
          </w:p>
        </w:tc>
      </w:tr>
      <w:tr w14:paraId="2B2B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732" w:type="dxa"/>
            <w:vAlign w:val="top"/>
          </w:tcPr>
          <w:p w14:paraId="333E1427">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50%以上</w:t>
            </w:r>
          </w:p>
        </w:tc>
        <w:tc>
          <w:tcPr>
            <w:tcW w:w="2307" w:type="dxa"/>
            <w:vAlign w:val="top"/>
          </w:tcPr>
          <w:p w14:paraId="573785DD">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3161" w:type="dxa"/>
            <w:vAlign w:val="top"/>
          </w:tcPr>
          <w:p w14:paraId="291D2E2D">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18%+(△P-50%)*1%</w:t>
            </w:r>
          </w:p>
        </w:tc>
      </w:tr>
      <w:tr w14:paraId="25EF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32" w:type="dxa"/>
            <w:vAlign w:val="top"/>
          </w:tcPr>
          <w:p w14:paraId="088BE9F7">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10%至50%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包</w:t>
            </w:r>
            <w:r>
              <w:rPr>
                <w:rFonts w:hint="eastAsia" w:ascii="仿宋" w:hAnsi="仿宋" w:eastAsia="仿宋" w:cs="仿宋"/>
                <w:spacing w:val="1"/>
                <w:sz w:val="24"/>
                <w:szCs w:val="24"/>
                <w:lang w:eastAsia="zh-CN"/>
              </w:rPr>
              <w:t>含</w:t>
            </w:r>
            <w:r>
              <w:rPr>
                <w:rFonts w:hint="eastAsia" w:ascii="仿宋" w:hAnsi="仿宋" w:eastAsia="仿宋" w:cs="仿宋"/>
                <w:spacing w:val="1"/>
                <w:sz w:val="24"/>
                <w:szCs w:val="24"/>
              </w:rPr>
              <w:t>50%)</w:t>
            </w:r>
          </w:p>
        </w:tc>
        <w:tc>
          <w:tcPr>
            <w:tcW w:w="2307" w:type="dxa"/>
            <w:vAlign w:val="top"/>
          </w:tcPr>
          <w:p w14:paraId="5B5C7902">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30%</w:t>
            </w:r>
          </w:p>
        </w:tc>
        <w:tc>
          <w:tcPr>
            <w:tcW w:w="3161" w:type="dxa"/>
            <w:vAlign w:val="top"/>
          </w:tcPr>
          <w:p w14:paraId="2155F968">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6%+(△P-1</w:t>
            </w:r>
            <w:r>
              <w:rPr>
                <w:rFonts w:hint="eastAsia" w:ascii="仿宋" w:hAnsi="仿宋" w:eastAsia="仿宋" w:cs="仿宋"/>
                <w:spacing w:val="1"/>
                <w:sz w:val="24"/>
                <w:szCs w:val="24"/>
                <w:lang w:val="en-US" w:eastAsia="zh-CN"/>
              </w:rPr>
              <w:t>0</w:t>
            </w:r>
            <w:r>
              <w:rPr>
                <w:rFonts w:hint="eastAsia" w:ascii="仿宋" w:hAnsi="仿宋" w:eastAsia="仿宋" w:cs="仿宋"/>
                <w:spacing w:val="1"/>
                <w:sz w:val="24"/>
                <w:szCs w:val="24"/>
              </w:rPr>
              <w:t>%)*30%</w:t>
            </w:r>
          </w:p>
        </w:tc>
      </w:tr>
      <w:tr w14:paraId="5CD5E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732" w:type="dxa"/>
            <w:vAlign w:val="top"/>
          </w:tcPr>
          <w:p w14:paraId="7EA67EBE">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-5%至10%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包含10%</w:t>
            </w:r>
            <w:r>
              <w:rPr>
                <w:rFonts w:hint="eastAsia" w:ascii="仿宋" w:hAnsi="仿宋" w:eastAsia="仿宋" w:cs="仿宋"/>
                <w:spacing w:val="1"/>
                <w:sz w:val="24"/>
                <w:szCs w:val="24"/>
                <w:lang w:eastAsia="zh-CN"/>
              </w:rPr>
              <w:t>）</w:t>
            </w:r>
          </w:p>
        </w:tc>
        <w:tc>
          <w:tcPr>
            <w:tcW w:w="2307" w:type="dxa"/>
            <w:vAlign w:val="top"/>
          </w:tcPr>
          <w:p w14:paraId="58E4E8A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60%</w:t>
            </w:r>
          </w:p>
        </w:tc>
        <w:tc>
          <w:tcPr>
            <w:tcW w:w="3161" w:type="dxa"/>
            <w:vAlign w:val="top"/>
          </w:tcPr>
          <w:p w14:paraId="0A33583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△P×60%</w:t>
            </w:r>
          </w:p>
        </w:tc>
      </w:tr>
      <w:tr w14:paraId="6503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732" w:type="dxa"/>
            <w:vAlign w:val="top"/>
          </w:tcPr>
          <w:p w14:paraId="0BAAA62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-50%至-5%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包含-5%)</w:t>
            </w:r>
          </w:p>
        </w:tc>
        <w:tc>
          <w:tcPr>
            <w:tcW w:w="2307" w:type="dxa"/>
            <w:vAlign w:val="top"/>
          </w:tcPr>
          <w:p w14:paraId="61A9B0B4">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30%</w:t>
            </w:r>
          </w:p>
        </w:tc>
        <w:tc>
          <w:tcPr>
            <w:tcW w:w="3161" w:type="dxa"/>
            <w:vAlign w:val="top"/>
          </w:tcPr>
          <w:p w14:paraId="499C8D75">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-3%+[△P-(-5%)]*30%</w:t>
            </w:r>
          </w:p>
        </w:tc>
      </w:tr>
      <w:tr w14:paraId="25377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732" w:type="dxa"/>
            <w:vAlign w:val="top"/>
          </w:tcPr>
          <w:p w14:paraId="7982EABF">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-50%以下</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包含-5%)</w:t>
            </w:r>
          </w:p>
        </w:tc>
        <w:tc>
          <w:tcPr>
            <w:tcW w:w="2307" w:type="dxa"/>
            <w:vAlign w:val="top"/>
          </w:tcPr>
          <w:p w14:paraId="77C7BD9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3161" w:type="dxa"/>
            <w:vAlign w:val="top"/>
          </w:tcPr>
          <w:p w14:paraId="3569E3B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-16.5%+[△P-(-50%)]*1%</w:t>
            </w:r>
          </w:p>
        </w:tc>
      </w:tr>
    </w:tbl>
    <w:p w14:paraId="1A7FFF0D">
      <w:pPr>
        <w:keepNext w:val="0"/>
        <w:keepLines w:val="0"/>
        <w:pageBreakBefore w:val="0"/>
        <w:widowControl/>
        <w:kinsoku/>
        <w:wordWrap/>
        <w:overflowPunct/>
        <w:topLinePunct w:val="0"/>
        <w:bidi w:val="0"/>
        <w:spacing w:before="166" w:line="223" w:lineRule="auto"/>
        <w:ind w:left="934"/>
        <w:rPr>
          <w:rFonts w:ascii="仿宋" w:hAnsi="仿宋" w:eastAsia="仿宋" w:cs="仿宋"/>
          <w:b/>
          <w:bCs/>
          <w:spacing w:val="14"/>
          <w:sz w:val="32"/>
          <w:szCs w:val="32"/>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二</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辅助联动系数β</w:t>
      </w:r>
    </w:p>
    <w:p w14:paraId="3273018D">
      <w:pPr>
        <w:keepNext w:val="0"/>
        <w:keepLines w:val="0"/>
        <w:pageBreakBefore w:val="0"/>
        <w:widowControl/>
        <w:kinsoku/>
        <w:wordWrap/>
        <w:overflowPunct/>
        <w:topLinePunct w:val="0"/>
        <w:bidi w:val="0"/>
        <w:spacing w:before="183" w:line="548" w:lineRule="exact"/>
        <w:ind w:left="765"/>
        <w:rPr>
          <w:rFonts w:ascii="仿宋" w:hAnsi="仿宋" w:eastAsia="仿宋" w:cs="仿宋"/>
          <w:sz w:val="32"/>
          <w:szCs w:val="32"/>
        </w:rPr>
      </w:pPr>
      <w:r>
        <w:rPr>
          <w:rFonts w:ascii="仿宋" w:hAnsi="仿宋" w:eastAsia="仿宋" w:cs="仿宋"/>
          <w:spacing w:val="-5"/>
          <w:position w:val="17"/>
          <w:sz w:val="32"/>
          <w:szCs w:val="32"/>
        </w:rPr>
        <w:t>辅助联动系数β根据人工成本效率指标增幅确定，β的</w:t>
      </w:r>
    </w:p>
    <w:p w14:paraId="6E408919">
      <w:pPr>
        <w:keepNext w:val="0"/>
        <w:keepLines w:val="0"/>
        <w:pageBreakBefore w:val="0"/>
        <w:widowControl/>
        <w:kinsoku/>
        <w:wordWrap/>
        <w:overflowPunct/>
        <w:topLinePunct w:val="0"/>
        <w:bidi w:val="0"/>
        <w:spacing w:line="219" w:lineRule="auto"/>
        <w:ind w:left="165"/>
        <w:rPr>
          <w:rFonts w:ascii="仿宋" w:hAnsi="仿宋" w:eastAsia="仿宋" w:cs="仿宋"/>
          <w:sz w:val="32"/>
          <w:szCs w:val="32"/>
        </w:rPr>
      </w:pPr>
      <w:r>
        <w:rPr>
          <w:rFonts w:ascii="仿宋" w:hAnsi="仿宋" w:eastAsia="仿宋" w:cs="仿宋"/>
          <w:spacing w:val="-6"/>
          <w:sz w:val="32"/>
          <w:szCs w:val="32"/>
        </w:rPr>
        <w:t>范围控制在[0.9,1.1]之间。</w:t>
      </w:r>
    </w:p>
    <w:p w14:paraId="04B98E91">
      <w:pPr>
        <w:keepNext w:val="0"/>
        <w:keepLines w:val="0"/>
        <w:pageBreakBefore w:val="0"/>
        <w:widowControl/>
        <w:kinsoku/>
        <w:wordWrap/>
        <w:overflowPunct/>
        <w:topLinePunct w:val="0"/>
        <w:bidi w:val="0"/>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表4</w:t>
      </w:r>
      <w:r>
        <w:rPr>
          <w:rFonts w:hint="eastAsia" w:ascii="仿宋" w:hAnsi="仿宋" w:eastAsia="仿宋" w:cs="仿宋"/>
          <w:spacing w:val="9"/>
          <w:sz w:val="24"/>
          <w:szCs w:val="24"/>
          <w:lang w:eastAsia="zh-CN"/>
        </w:rPr>
        <w:t>：</w:t>
      </w:r>
      <w:r>
        <w:rPr>
          <w:rFonts w:ascii="仿宋" w:hAnsi="仿宋" w:eastAsia="仿宋" w:cs="仿宋"/>
          <w:spacing w:val="9"/>
          <w:sz w:val="24"/>
          <w:szCs w:val="24"/>
        </w:rPr>
        <w:t>辅助联动系数β</w:t>
      </w:r>
    </w:p>
    <w:p w14:paraId="7BBA42D6">
      <w:pPr>
        <w:keepNext w:val="0"/>
        <w:keepLines w:val="0"/>
        <w:pageBreakBefore w:val="0"/>
        <w:widowControl/>
        <w:kinsoku/>
        <w:wordWrap/>
        <w:overflowPunct/>
        <w:topLinePunct w:val="0"/>
        <w:bidi w:val="0"/>
        <w:spacing w:line="44" w:lineRule="exact"/>
      </w:pPr>
    </w:p>
    <w:tbl>
      <w:tblPr>
        <w:tblStyle w:val="6"/>
        <w:tblW w:w="819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2737"/>
        <w:gridCol w:w="2731"/>
      </w:tblGrid>
      <w:tr w14:paraId="27382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22" w:type="dxa"/>
            <w:vAlign w:val="top"/>
          </w:tcPr>
          <w:p w14:paraId="23412018">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人工成本效率指标</w:t>
            </w:r>
          </w:p>
        </w:tc>
        <w:tc>
          <w:tcPr>
            <w:tcW w:w="2737" w:type="dxa"/>
            <w:vAlign w:val="top"/>
          </w:tcPr>
          <w:p w14:paraId="2B18699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主效益联动系数α≥0</w:t>
            </w:r>
          </w:p>
        </w:tc>
        <w:tc>
          <w:tcPr>
            <w:tcW w:w="2731" w:type="dxa"/>
            <w:vAlign w:val="top"/>
          </w:tcPr>
          <w:p w14:paraId="2EDF0C5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主效益联动系数α&lt;0</w:t>
            </w:r>
          </w:p>
        </w:tc>
      </w:tr>
      <w:tr w14:paraId="2EF4F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2722" w:type="dxa"/>
            <w:vAlign w:val="top"/>
          </w:tcPr>
          <w:p w14:paraId="7B653537">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劳动生产率</w:t>
            </w:r>
            <w:r>
              <w:rPr>
                <w:rFonts w:hint="eastAsia" w:ascii="仿宋" w:hAnsi="仿宋" w:eastAsia="仿宋" w:cs="仿宋"/>
                <w:spacing w:val="1"/>
                <w:sz w:val="24"/>
                <w:szCs w:val="24"/>
                <w:lang w:eastAsia="zh-CN"/>
              </w:rPr>
              <w:t>、</w:t>
            </w:r>
          </w:p>
          <w:p w14:paraId="0D8C1CE8">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人工成本利润率等</w:t>
            </w:r>
          </w:p>
        </w:tc>
        <w:tc>
          <w:tcPr>
            <w:tcW w:w="2737" w:type="dxa"/>
            <w:vAlign w:val="top"/>
          </w:tcPr>
          <w:p w14:paraId="3F89FE65">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c>
          <w:tcPr>
            <w:tcW w:w="2731" w:type="dxa"/>
            <w:vAlign w:val="top"/>
          </w:tcPr>
          <w:p w14:paraId="6B8977E6">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r>
      <w:tr w14:paraId="208B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2722" w:type="dxa"/>
            <w:vAlign w:val="top"/>
          </w:tcPr>
          <w:p w14:paraId="4588F65E">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劳动分配率</w:t>
            </w:r>
            <w:r>
              <w:rPr>
                <w:rFonts w:hint="eastAsia" w:ascii="仿宋" w:hAnsi="仿宋" w:eastAsia="仿宋" w:cs="仿宋"/>
                <w:spacing w:val="1"/>
                <w:sz w:val="24"/>
                <w:szCs w:val="24"/>
                <w:lang w:eastAsia="zh-CN"/>
              </w:rPr>
              <w:t>、</w:t>
            </w:r>
          </w:p>
          <w:p w14:paraId="36836B15">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人事费用率等</w:t>
            </w:r>
          </w:p>
        </w:tc>
        <w:tc>
          <w:tcPr>
            <w:tcW w:w="2737" w:type="dxa"/>
            <w:vAlign w:val="top"/>
          </w:tcPr>
          <w:p w14:paraId="7CDCAC19">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c>
          <w:tcPr>
            <w:tcW w:w="2731" w:type="dxa"/>
            <w:vAlign w:val="top"/>
          </w:tcPr>
          <w:p w14:paraId="39440046">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β=1+(人工成本效率指标增幅÷5%)×1%</w:t>
            </w:r>
          </w:p>
        </w:tc>
      </w:tr>
    </w:tbl>
    <w:p w14:paraId="59B09AA9">
      <w:pPr>
        <w:keepNext w:val="0"/>
        <w:keepLines w:val="0"/>
        <w:pageBreakBefore w:val="0"/>
        <w:widowControl/>
        <w:kinsoku/>
        <w:wordWrap/>
        <w:overflowPunct/>
        <w:topLinePunct w:val="0"/>
        <w:autoSpaceDE w:val="0"/>
        <w:autoSpaceDN w:val="0"/>
        <w:bidi w:val="0"/>
        <w:adjustRightInd w:val="0"/>
        <w:snapToGrid w:val="0"/>
        <w:spacing w:line="214" w:lineRule="auto"/>
        <w:ind w:left="771"/>
        <w:textAlignment w:val="baseline"/>
        <w:rPr>
          <w:rFonts w:hint="eastAsia" w:ascii="仿宋" w:hAnsi="仿宋" w:eastAsia="仿宋" w:cs="仿宋"/>
          <w:b w:val="0"/>
          <w:bCs w:val="0"/>
          <w:color w:val="auto"/>
          <w:spacing w:val="10"/>
          <w:sz w:val="21"/>
          <w:szCs w:val="21"/>
        </w:rPr>
      </w:pPr>
      <w:r>
        <w:rPr>
          <w:rFonts w:hint="eastAsia" w:ascii="仿宋" w:hAnsi="仿宋" w:eastAsia="仿宋" w:cs="仿宋"/>
          <w:b/>
          <w:bCs/>
          <w:spacing w:val="10"/>
          <w:sz w:val="21"/>
          <w:szCs w:val="21"/>
        </w:rPr>
        <w:t>备注：</w:t>
      </w:r>
      <w:r>
        <w:rPr>
          <w:rFonts w:hint="eastAsia" w:ascii="仿宋" w:hAnsi="仿宋" w:eastAsia="仿宋" w:cs="仿宋"/>
          <w:b w:val="0"/>
          <w:bCs w:val="0"/>
          <w:spacing w:val="10"/>
          <w:sz w:val="21"/>
          <w:szCs w:val="21"/>
        </w:rPr>
        <w:t>人工成本效率指标增幅</w:t>
      </w:r>
      <w:r>
        <w:rPr>
          <w:rFonts w:hint="eastAsia" w:ascii="仿宋" w:hAnsi="仿宋" w:eastAsia="仿宋" w:cs="仿宋"/>
          <w:b w:val="0"/>
          <w:bCs w:val="0"/>
          <w:spacing w:val="10"/>
          <w:sz w:val="21"/>
          <w:szCs w:val="21"/>
          <w:lang w:val="en-US" w:eastAsia="zh-CN"/>
        </w:rPr>
        <w:t>=</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预算年度人工成本效率指标值</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上年度人工成本效率指标值</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w:t>
      </w:r>
      <w:r>
        <w:rPr>
          <w:rFonts w:hint="eastAsia" w:ascii="仿宋" w:hAnsi="仿宋" w:eastAsia="仿宋" w:cs="仿宋"/>
          <w:b w:val="0"/>
          <w:bCs w:val="0"/>
          <w:spacing w:val="10"/>
          <w:sz w:val="21"/>
          <w:szCs w:val="21"/>
          <w:lang w:eastAsia="zh-CN"/>
        </w:rPr>
        <w:t>｜</w:t>
      </w:r>
      <w:r>
        <w:rPr>
          <w:rFonts w:hint="eastAsia" w:ascii="仿宋" w:hAnsi="仿宋" w:eastAsia="仿宋" w:cs="仿宋"/>
          <w:b w:val="0"/>
          <w:bCs w:val="0"/>
          <w:spacing w:val="10"/>
          <w:sz w:val="21"/>
          <w:szCs w:val="21"/>
        </w:rPr>
        <w:t>上年度人工成本效率指标</w:t>
      </w:r>
      <w:r>
        <w:rPr>
          <w:rFonts w:hint="eastAsia" w:ascii="仿宋" w:hAnsi="仿宋" w:eastAsia="仿宋" w:cs="仿宋"/>
          <w:b w:val="0"/>
          <w:bCs w:val="0"/>
          <w:color w:val="auto"/>
          <w:spacing w:val="10"/>
          <w:sz w:val="21"/>
          <w:szCs w:val="21"/>
        </w:rPr>
        <w:t>值</w:t>
      </w:r>
      <w:r>
        <w:rPr>
          <w:rFonts w:hint="eastAsia" w:ascii="仿宋" w:hAnsi="仿宋" w:eastAsia="仿宋" w:cs="仿宋"/>
          <w:b w:val="0"/>
          <w:bCs w:val="0"/>
          <w:color w:val="auto"/>
          <w:spacing w:val="10"/>
          <w:sz w:val="21"/>
          <w:szCs w:val="21"/>
          <w:lang w:eastAsia="zh-CN"/>
        </w:rPr>
        <w:t>｜</w:t>
      </w:r>
      <w:r>
        <w:rPr>
          <w:rFonts w:hint="eastAsia" w:ascii="仿宋" w:hAnsi="仿宋" w:eastAsia="仿宋" w:cs="仿宋"/>
          <w:spacing w:val="1"/>
          <w:sz w:val="24"/>
          <w:szCs w:val="24"/>
        </w:rPr>
        <w:t>*</w:t>
      </w:r>
      <w:r>
        <w:rPr>
          <w:rFonts w:hint="eastAsia" w:ascii="仿宋" w:hAnsi="仿宋" w:eastAsia="仿宋" w:cs="仿宋"/>
          <w:b w:val="0"/>
          <w:bCs w:val="0"/>
          <w:color w:val="auto"/>
          <w:spacing w:val="10"/>
          <w:sz w:val="21"/>
          <w:szCs w:val="21"/>
        </w:rPr>
        <w:t>100%</w:t>
      </w:r>
    </w:p>
    <w:p w14:paraId="24B6BFEB">
      <w:pPr>
        <w:keepNext w:val="0"/>
        <w:keepLines w:val="0"/>
        <w:pageBreakBefore w:val="0"/>
        <w:widowControl/>
        <w:kinsoku/>
        <w:wordWrap/>
        <w:overflowPunct/>
        <w:topLinePunct w:val="0"/>
        <w:bidi w:val="0"/>
        <w:spacing w:before="166" w:line="223" w:lineRule="auto"/>
        <w:ind w:left="934"/>
        <w:rPr>
          <w:rFonts w:ascii="仿宋" w:hAnsi="仿宋" w:eastAsia="仿宋" w:cs="仿宋"/>
          <w:b/>
          <w:bCs/>
          <w:spacing w:val="14"/>
          <w:sz w:val="32"/>
          <w:szCs w:val="32"/>
        </w:rPr>
      </w:pP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三</w:t>
      </w:r>
      <w:r>
        <w:rPr>
          <w:rFonts w:hint="eastAsia" w:ascii="仿宋" w:hAnsi="仿宋" w:eastAsia="仿宋" w:cs="仿宋"/>
          <w:b/>
          <w:bCs/>
          <w:spacing w:val="14"/>
          <w:sz w:val="32"/>
          <w:szCs w:val="32"/>
          <w:lang w:eastAsia="zh-CN"/>
        </w:rPr>
        <w:t>）</w:t>
      </w:r>
      <w:r>
        <w:rPr>
          <w:rFonts w:ascii="仿宋" w:hAnsi="仿宋" w:eastAsia="仿宋" w:cs="仿宋"/>
          <w:b/>
          <w:bCs/>
          <w:spacing w:val="14"/>
          <w:sz w:val="32"/>
          <w:szCs w:val="32"/>
        </w:rPr>
        <w:t>工资水平调节系数γ</w:t>
      </w:r>
    </w:p>
    <w:p w14:paraId="041118BD">
      <w:pPr>
        <w:keepNext w:val="0"/>
        <w:keepLines w:val="0"/>
        <w:pageBreakBefore w:val="0"/>
        <w:widowControl/>
        <w:kinsoku/>
        <w:wordWrap/>
        <w:overflowPunct/>
        <w:topLinePunct w:val="0"/>
        <w:bidi w:val="0"/>
        <w:spacing w:before="184" w:line="328" w:lineRule="auto"/>
        <w:ind w:left="155" w:right="265" w:firstLine="619"/>
        <w:jc w:val="both"/>
        <w:rPr>
          <w:rFonts w:ascii="仿宋" w:hAnsi="仿宋" w:eastAsia="仿宋" w:cs="仿宋"/>
          <w:sz w:val="32"/>
          <w:szCs w:val="32"/>
        </w:rPr>
      </w:pPr>
      <w:r>
        <w:rPr>
          <w:rFonts w:ascii="仿宋" w:hAnsi="仿宋" w:eastAsia="仿宋" w:cs="仿宋"/>
          <w:spacing w:val="-5"/>
          <w:sz w:val="32"/>
          <w:szCs w:val="32"/>
        </w:rPr>
        <w:t>工资水平调节系数γ由工资比较倍数决定，工资比较倍</w:t>
      </w:r>
      <w:r>
        <w:rPr>
          <w:rFonts w:ascii="仿宋" w:hAnsi="仿宋" w:eastAsia="仿宋" w:cs="仿宋"/>
          <w:spacing w:val="-3"/>
          <w:sz w:val="32"/>
          <w:szCs w:val="32"/>
        </w:rPr>
        <w:t>数=上年度人均工资水平÷上年度全国城镇单位就业人员平</w:t>
      </w:r>
      <w:r>
        <w:rPr>
          <w:rFonts w:ascii="仿宋" w:hAnsi="仿宋" w:eastAsia="仿宋" w:cs="仿宋"/>
          <w:spacing w:val="-12"/>
          <w:sz w:val="32"/>
          <w:szCs w:val="32"/>
        </w:rPr>
        <w:t>均工资。</w:t>
      </w:r>
    </w:p>
    <w:p w14:paraId="4F518F39">
      <w:pPr>
        <w:keepNext w:val="0"/>
        <w:keepLines w:val="0"/>
        <w:pageBreakBefore w:val="0"/>
        <w:widowControl/>
        <w:kinsoku/>
        <w:wordWrap/>
        <w:overflowPunct/>
        <w:topLinePunct w:val="0"/>
        <w:bidi w:val="0"/>
        <w:spacing w:before="1" w:line="221" w:lineRule="auto"/>
        <w:ind w:left="2799"/>
        <w:rPr>
          <w:rFonts w:ascii="仿宋" w:hAnsi="仿宋" w:eastAsia="仿宋" w:cs="仿宋"/>
          <w:spacing w:val="9"/>
          <w:sz w:val="24"/>
          <w:szCs w:val="24"/>
        </w:rPr>
      </w:pPr>
      <w:r>
        <w:rPr>
          <w:rFonts w:ascii="仿宋" w:hAnsi="仿宋" w:eastAsia="仿宋" w:cs="仿宋"/>
          <w:spacing w:val="9"/>
          <w:sz w:val="24"/>
          <w:szCs w:val="24"/>
        </w:rPr>
        <w:t>表5</w:t>
      </w:r>
      <w:r>
        <w:rPr>
          <w:rFonts w:hint="eastAsia" w:ascii="仿宋" w:hAnsi="仿宋" w:eastAsia="仿宋" w:cs="仿宋"/>
          <w:spacing w:val="9"/>
          <w:sz w:val="24"/>
          <w:szCs w:val="24"/>
          <w:lang w:eastAsia="zh-CN"/>
        </w:rPr>
        <w:t>：</w:t>
      </w:r>
      <w:r>
        <w:rPr>
          <w:rFonts w:ascii="仿宋" w:hAnsi="仿宋" w:eastAsia="仿宋" w:cs="仿宋"/>
          <w:spacing w:val="9"/>
          <w:sz w:val="24"/>
          <w:szCs w:val="24"/>
        </w:rPr>
        <w:t>企业工资水平调节系数γ</w:t>
      </w:r>
    </w:p>
    <w:p w14:paraId="108FADDD">
      <w:pPr>
        <w:keepNext w:val="0"/>
        <w:keepLines w:val="0"/>
        <w:pageBreakBefore w:val="0"/>
        <w:widowControl/>
        <w:kinsoku/>
        <w:wordWrap/>
        <w:overflowPunct/>
        <w:topLinePunct w:val="0"/>
        <w:bidi w:val="0"/>
        <w:spacing w:line="50" w:lineRule="exact"/>
      </w:pPr>
    </w:p>
    <w:tbl>
      <w:tblPr>
        <w:tblStyle w:val="6"/>
        <w:tblW w:w="821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1"/>
        <w:gridCol w:w="3306"/>
        <w:gridCol w:w="2023"/>
      </w:tblGrid>
      <w:tr w14:paraId="0DBD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881" w:type="dxa"/>
            <w:vAlign w:val="top"/>
          </w:tcPr>
          <w:p w14:paraId="49279B80">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主效益联动系数α</w:t>
            </w:r>
          </w:p>
        </w:tc>
        <w:tc>
          <w:tcPr>
            <w:tcW w:w="3306" w:type="dxa"/>
            <w:vAlign w:val="top"/>
          </w:tcPr>
          <w:p w14:paraId="3EE2517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工资比较倍数</w:t>
            </w:r>
          </w:p>
        </w:tc>
        <w:tc>
          <w:tcPr>
            <w:tcW w:w="2023" w:type="dxa"/>
            <w:vAlign w:val="top"/>
          </w:tcPr>
          <w:p w14:paraId="2C7E93F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Y</w:t>
            </w:r>
          </w:p>
        </w:tc>
      </w:tr>
      <w:tr w14:paraId="2BB1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881" w:type="dxa"/>
            <w:vMerge w:val="restart"/>
            <w:tcBorders>
              <w:bottom w:val="nil"/>
            </w:tcBorders>
            <w:vAlign w:val="center"/>
          </w:tcPr>
          <w:p w14:paraId="407A7AC5">
            <w:pPr>
              <w:keepNext w:val="0"/>
              <w:keepLines w:val="0"/>
              <w:pageBreakBefore w:val="0"/>
              <w:widowControl/>
              <w:kinsoku/>
              <w:wordWrap/>
              <w:overflowPunct/>
              <w:topLinePunct w:val="0"/>
              <w:bidi w:val="0"/>
              <w:spacing w:before="224" w:line="222" w:lineRule="auto"/>
              <w:ind w:right="67" w:firstLine="484" w:firstLineChars="200"/>
              <w:jc w:val="center"/>
              <w:rPr>
                <w:rFonts w:hint="eastAsia" w:ascii="仿宋" w:hAnsi="仿宋" w:eastAsia="仿宋" w:cs="仿宋"/>
                <w:spacing w:val="1"/>
                <w:sz w:val="24"/>
                <w:szCs w:val="24"/>
              </w:rPr>
            </w:pPr>
            <w:r>
              <w:rPr>
                <w:rFonts w:hint="eastAsia" w:ascii="仿宋" w:hAnsi="仿宋" w:eastAsia="仿宋" w:cs="仿宋"/>
                <w:spacing w:val="1"/>
                <w:sz w:val="24"/>
                <w:szCs w:val="24"/>
              </w:rPr>
              <w:t>主效益联动系数α≥0</w:t>
            </w:r>
          </w:p>
        </w:tc>
        <w:tc>
          <w:tcPr>
            <w:tcW w:w="3306" w:type="dxa"/>
            <w:vAlign w:val="top"/>
          </w:tcPr>
          <w:p w14:paraId="13EBF97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2.5倍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以上</w:t>
            </w:r>
          </w:p>
        </w:tc>
        <w:tc>
          <w:tcPr>
            <w:tcW w:w="2023" w:type="dxa"/>
            <w:vAlign w:val="top"/>
          </w:tcPr>
          <w:p w14:paraId="083E18F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p>
        </w:tc>
      </w:tr>
      <w:tr w14:paraId="6806D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81" w:type="dxa"/>
            <w:vMerge w:val="continue"/>
            <w:tcBorders>
              <w:top w:val="nil"/>
            </w:tcBorders>
            <w:vAlign w:val="top"/>
          </w:tcPr>
          <w:p w14:paraId="6254B3E6">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14:paraId="3FB812DA">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-2.5倍</w:t>
            </w:r>
          </w:p>
        </w:tc>
        <w:tc>
          <w:tcPr>
            <w:tcW w:w="2023" w:type="dxa"/>
            <w:vAlign w:val="top"/>
          </w:tcPr>
          <w:p w14:paraId="5D04ADCF">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r>
    </w:tbl>
    <w:p w14:paraId="3E9BD2BD">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sectPr>
          <w:footerReference r:id="rId8" w:type="default"/>
          <w:pgSz w:w="11900" w:h="16920"/>
          <w:pgMar w:top="1438" w:right="1735" w:bottom="1496" w:left="1785" w:header="0" w:footer="1317" w:gutter="0"/>
          <w:pgNumType w:fmt="decimal"/>
          <w:cols w:space="720" w:num="1"/>
        </w:sectPr>
      </w:pPr>
    </w:p>
    <w:tbl>
      <w:tblPr>
        <w:tblStyle w:val="6"/>
        <w:tblW w:w="818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306"/>
        <w:gridCol w:w="2003"/>
      </w:tblGrid>
      <w:tr w14:paraId="6E96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71" w:type="dxa"/>
            <w:vAlign w:val="top"/>
          </w:tcPr>
          <w:p w14:paraId="4A3F85C4">
            <w:pPr>
              <w:keepNext w:val="0"/>
              <w:keepLines w:val="0"/>
              <w:pageBreakBefore w:val="0"/>
              <w:widowControl/>
              <w:kinsoku/>
              <w:wordWrap/>
              <w:overflowPunct/>
              <w:topLinePunct w:val="0"/>
              <w:bidi w:val="0"/>
              <w:spacing w:before="224" w:line="222" w:lineRule="auto"/>
              <w:ind w:right="67"/>
              <w:jc w:val="both"/>
              <w:rPr>
                <w:rFonts w:hint="eastAsia" w:ascii="仿宋" w:hAnsi="仿宋" w:eastAsia="仿宋" w:cs="仿宋"/>
                <w:spacing w:val="1"/>
                <w:sz w:val="24"/>
                <w:szCs w:val="24"/>
              </w:rPr>
            </w:pPr>
          </w:p>
        </w:tc>
        <w:tc>
          <w:tcPr>
            <w:tcW w:w="3306" w:type="dxa"/>
            <w:vAlign w:val="top"/>
          </w:tcPr>
          <w:p w14:paraId="172E2C07">
            <w:pPr>
              <w:keepNext w:val="0"/>
              <w:keepLines w:val="0"/>
              <w:pageBreakBefore w:val="0"/>
              <w:widowControl/>
              <w:kinsoku/>
              <w:wordWrap/>
              <w:overflowPunct/>
              <w:topLinePunct w:val="0"/>
              <w:bidi w:val="0"/>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0.8倍以内</w:t>
            </w:r>
          </w:p>
        </w:tc>
        <w:tc>
          <w:tcPr>
            <w:tcW w:w="2003" w:type="dxa"/>
            <w:vAlign w:val="top"/>
          </w:tcPr>
          <w:p w14:paraId="68DB8446">
            <w:pPr>
              <w:keepNext w:val="0"/>
              <w:keepLines w:val="0"/>
              <w:pageBreakBefore w:val="0"/>
              <w:widowControl/>
              <w:kinsoku/>
              <w:wordWrap/>
              <w:overflowPunct/>
              <w:topLinePunct w:val="0"/>
              <w:bidi w:val="0"/>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1.2</w:t>
            </w:r>
          </w:p>
        </w:tc>
      </w:tr>
      <w:tr w14:paraId="307D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2871" w:type="dxa"/>
            <w:vMerge w:val="restart"/>
            <w:tcBorders>
              <w:bottom w:val="nil"/>
            </w:tcBorders>
            <w:vAlign w:val="center"/>
          </w:tcPr>
          <w:p w14:paraId="2BD5FC18">
            <w:pPr>
              <w:keepNext w:val="0"/>
              <w:keepLines w:val="0"/>
              <w:pageBreakBefore w:val="0"/>
              <w:widowControl/>
              <w:kinsoku/>
              <w:wordWrap/>
              <w:overflowPunct/>
              <w:topLinePunct w:val="0"/>
              <w:bidi w:val="0"/>
              <w:spacing w:before="224" w:line="222" w:lineRule="auto"/>
              <w:ind w:right="67"/>
              <w:jc w:val="center"/>
              <w:rPr>
                <w:rFonts w:hint="eastAsia" w:ascii="仿宋" w:hAnsi="仿宋" w:eastAsia="仿宋" w:cs="仿宋"/>
                <w:spacing w:val="1"/>
                <w:sz w:val="24"/>
                <w:szCs w:val="24"/>
              </w:rPr>
            </w:pPr>
            <w:r>
              <w:rPr>
                <w:rFonts w:hint="eastAsia" w:ascii="仿宋" w:hAnsi="仿宋" w:eastAsia="仿宋" w:cs="仿宋"/>
                <w:spacing w:val="1"/>
                <w:sz w:val="24"/>
                <w:szCs w:val="24"/>
              </w:rPr>
              <w:t>主效益联动系数α</w:t>
            </w:r>
            <w:r>
              <w:rPr>
                <w:rFonts w:hint="eastAsia" w:ascii="仿宋" w:hAnsi="仿宋" w:eastAsia="仿宋" w:cs="仿宋"/>
                <w:spacing w:val="1"/>
                <w:sz w:val="24"/>
                <w:szCs w:val="24"/>
                <w:lang w:val="en-US" w:eastAsia="zh-CN"/>
              </w:rPr>
              <w:t>&lt;</w:t>
            </w:r>
            <w:r>
              <w:rPr>
                <w:rFonts w:hint="eastAsia" w:ascii="仿宋" w:hAnsi="仿宋" w:eastAsia="仿宋" w:cs="仿宋"/>
                <w:spacing w:val="1"/>
                <w:sz w:val="24"/>
                <w:szCs w:val="24"/>
              </w:rPr>
              <w:t>0</w:t>
            </w:r>
          </w:p>
        </w:tc>
        <w:tc>
          <w:tcPr>
            <w:tcW w:w="3306" w:type="dxa"/>
            <w:vAlign w:val="top"/>
          </w:tcPr>
          <w:p w14:paraId="3276864B">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2.5倍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以上</w:t>
            </w:r>
          </w:p>
        </w:tc>
        <w:tc>
          <w:tcPr>
            <w:tcW w:w="2003" w:type="dxa"/>
            <w:vAlign w:val="top"/>
          </w:tcPr>
          <w:p w14:paraId="78B2FBBD">
            <w:pPr>
              <w:keepNext w:val="0"/>
              <w:keepLines w:val="0"/>
              <w:pageBreakBefore w:val="0"/>
              <w:widowControl/>
              <w:kinsoku/>
              <w:wordWrap/>
              <w:overflowPunct/>
              <w:topLinePunct w:val="0"/>
              <w:bidi w:val="0"/>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1.2</w:t>
            </w:r>
          </w:p>
        </w:tc>
      </w:tr>
      <w:tr w14:paraId="2970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871" w:type="dxa"/>
            <w:vMerge w:val="continue"/>
            <w:tcBorders>
              <w:top w:val="nil"/>
              <w:bottom w:val="nil"/>
            </w:tcBorders>
            <w:vAlign w:val="top"/>
          </w:tcPr>
          <w:p w14:paraId="573365DF">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14:paraId="5913B11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0.8</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含</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-2.5倍</w:t>
            </w:r>
          </w:p>
        </w:tc>
        <w:tc>
          <w:tcPr>
            <w:tcW w:w="2003" w:type="dxa"/>
            <w:vAlign w:val="top"/>
          </w:tcPr>
          <w:p w14:paraId="6D88DC9B">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w:t>
            </w:r>
          </w:p>
        </w:tc>
      </w:tr>
      <w:tr w14:paraId="42612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71" w:type="dxa"/>
            <w:vMerge w:val="continue"/>
            <w:tcBorders>
              <w:top w:val="nil"/>
            </w:tcBorders>
            <w:vAlign w:val="top"/>
          </w:tcPr>
          <w:p w14:paraId="75D8AFAD">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p>
        </w:tc>
        <w:tc>
          <w:tcPr>
            <w:tcW w:w="3306" w:type="dxa"/>
            <w:vAlign w:val="top"/>
          </w:tcPr>
          <w:p w14:paraId="1826F81F">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8倍以内</w:t>
            </w:r>
          </w:p>
        </w:tc>
        <w:tc>
          <w:tcPr>
            <w:tcW w:w="2003" w:type="dxa"/>
            <w:vAlign w:val="top"/>
          </w:tcPr>
          <w:p w14:paraId="5AF5326D">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0.5</w:t>
            </w:r>
          </w:p>
        </w:tc>
      </w:tr>
    </w:tbl>
    <w:p w14:paraId="18069D5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四、新组建企业</w:t>
      </w:r>
    </w:p>
    <w:p w14:paraId="23CB5CC4">
      <w:pPr>
        <w:keepNext w:val="0"/>
        <w:keepLines w:val="0"/>
        <w:pageBreakBefore w:val="0"/>
        <w:widowControl/>
        <w:kinsoku/>
        <w:wordWrap/>
        <w:overflowPunct/>
        <w:topLinePunct w:val="0"/>
        <w:bidi w:val="0"/>
        <w:spacing w:before="182" w:line="545" w:lineRule="exact"/>
        <w:ind w:left="755"/>
        <w:rPr>
          <w:rFonts w:ascii="仿宋" w:hAnsi="仿宋" w:eastAsia="仿宋" w:cs="仿宋"/>
          <w:sz w:val="31"/>
          <w:szCs w:val="31"/>
        </w:rPr>
      </w:pPr>
      <w:r>
        <w:rPr>
          <w:rFonts w:ascii="仿宋" w:hAnsi="仿宋" w:eastAsia="仿宋" w:cs="仿宋"/>
          <w:spacing w:val="-14"/>
          <w:position w:val="17"/>
          <w:sz w:val="31"/>
          <w:szCs w:val="31"/>
        </w:rPr>
        <w:t>新组建企业设置过渡期；一般为三年，在过渡期内；其</w:t>
      </w:r>
    </w:p>
    <w:p w14:paraId="7E9BE3DE">
      <w:pPr>
        <w:keepNext w:val="0"/>
        <w:keepLines w:val="0"/>
        <w:pageBreakBefore w:val="0"/>
        <w:widowControl/>
        <w:kinsoku/>
        <w:wordWrap/>
        <w:overflowPunct/>
        <w:topLinePunct w:val="0"/>
        <w:bidi w:val="0"/>
        <w:spacing w:line="222" w:lineRule="auto"/>
        <w:rPr>
          <w:rFonts w:ascii="仿宋" w:hAnsi="仿宋" w:eastAsia="仿宋" w:cs="仿宋"/>
          <w:sz w:val="31"/>
          <w:szCs w:val="31"/>
        </w:rPr>
      </w:pPr>
      <w:r>
        <w:rPr>
          <w:rFonts w:ascii="仿宋" w:hAnsi="仿宋" w:eastAsia="仿宋" w:cs="仿宋"/>
          <w:spacing w:val="-6"/>
          <w:sz w:val="31"/>
          <w:szCs w:val="31"/>
        </w:rPr>
        <w:t>工资总额与企业经营业绩考核结果联动。</w:t>
      </w:r>
    </w:p>
    <w:p w14:paraId="0C4517E1">
      <w:pPr>
        <w:keepNext w:val="0"/>
        <w:keepLines w:val="0"/>
        <w:pageBreakBefore w:val="0"/>
        <w:widowControl/>
        <w:kinsoku/>
        <w:wordWrap/>
        <w:overflowPunct/>
        <w:topLinePunct w:val="0"/>
        <w:bidi w:val="0"/>
        <w:spacing w:before="198" w:line="223" w:lineRule="auto"/>
        <w:ind w:left="755"/>
        <w:rPr>
          <w:rFonts w:ascii="仿宋" w:hAnsi="仿宋" w:eastAsia="仿宋" w:cs="仿宋"/>
          <w:sz w:val="31"/>
          <w:szCs w:val="31"/>
        </w:rPr>
      </w:pPr>
      <w:r>
        <w:rPr>
          <w:rFonts w:ascii="仿宋" w:hAnsi="仿宋" w:eastAsia="仿宋" w:cs="仿宋"/>
          <w:spacing w:val="4"/>
          <w:sz w:val="31"/>
          <w:szCs w:val="31"/>
        </w:rPr>
        <w:t>工资总额=工资总额基数</w:t>
      </w:r>
      <w:r>
        <w:rPr>
          <w:rFonts w:hint="default" w:ascii="Arial" w:hAnsi="Arial" w:eastAsia="仿宋" w:cs="Arial"/>
          <w:spacing w:val="4"/>
          <w:sz w:val="31"/>
          <w:szCs w:val="31"/>
        </w:rPr>
        <w:t>×</w:t>
      </w:r>
      <w:r>
        <w:rPr>
          <w:rFonts w:ascii="仿宋" w:hAnsi="仿宋" w:eastAsia="仿宋" w:cs="仿宋"/>
          <w:spacing w:val="4"/>
          <w:sz w:val="31"/>
          <w:szCs w:val="31"/>
        </w:rPr>
        <w:t>(1+工效联动系数)</w:t>
      </w:r>
    </w:p>
    <w:p w14:paraId="10319E7E">
      <w:pPr>
        <w:keepNext w:val="0"/>
        <w:keepLines w:val="0"/>
        <w:pageBreakBefore w:val="0"/>
        <w:widowControl/>
        <w:kinsoku/>
        <w:wordWrap/>
        <w:overflowPunct/>
        <w:topLinePunct w:val="0"/>
        <w:bidi w:val="0"/>
        <w:spacing w:before="184" w:line="528" w:lineRule="exact"/>
        <w:ind w:left="755"/>
        <w:rPr>
          <w:rFonts w:ascii="仿宋" w:hAnsi="仿宋" w:eastAsia="仿宋" w:cs="仿宋"/>
          <w:sz w:val="31"/>
          <w:szCs w:val="31"/>
        </w:rPr>
      </w:pPr>
      <w:r>
        <w:rPr>
          <w:rFonts w:ascii="仿宋" w:hAnsi="仿宋" w:eastAsia="仿宋" w:cs="仿宋"/>
          <w:spacing w:val="4"/>
          <w:position w:val="15"/>
          <w:sz w:val="31"/>
          <w:szCs w:val="31"/>
        </w:rPr>
        <w:t>工效联动系数=年度经营业绩考核系数A</w:t>
      </w:r>
      <w:r>
        <w:rPr>
          <w:rFonts w:hint="eastAsia" w:ascii="仿宋" w:hAnsi="仿宋" w:eastAsia="仿宋" w:cs="仿宋"/>
          <w:spacing w:val="4"/>
          <w:position w:val="15"/>
          <w:sz w:val="31"/>
          <w:szCs w:val="31"/>
          <w:lang w:eastAsia="zh-CN"/>
        </w:rPr>
        <w:t>，</w:t>
      </w:r>
      <w:r>
        <w:rPr>
          <w:rFonts w:ascii="仿宋" w:hAnsi="仿宋" w:eastAsia="仿宋" w:cs="仿宋"/>
          <w:spacing w:val="4"/>
          <w:position w:val="15"/>
          <w:sz w:val="31"/>
          <w:szCs w:val="31"/>
        </w:rPr>
        <w:t>年</w:t>
      </w:r>
      <w:r>
        <w:rPr>
          <w:rFonts w:ascii="仿宋" w:hAnsi="仿宋" w:eastAsia="仿宋" w:cs="仿宋"/>
          <w:spacing w:val="3"/>
          <w:position w:val="15"/>
          <w:sz w:val="31"/>
          <w:szCs w:val="31"/>
        </w:rPr>
        <w:t>度经营业绩</w:t>
      </w:r>
    </w:p>
    <w:p w14:paraId="33BCE9DF">
      <w:pPr>
        <w:keepNext w:val="0"/>
        <w:keepLines w:val="0"/>
        <w:pageBreakBefore w:val="0"/>
        <w:widowControl/>
        <w:kinsoku/>
        <w:wordWrap/>
        <w:overflowPunct/>
        <w:topLinePunct w:val="0"/>
        <w:bidi w:val="0"/>
        <w:spacing w:before="1" w:line="220" w:lineRule="auto"/>
        <w:ind w:left="134"/>
        <w:rPr>
          <w:rFonts w:ascii="仿宋" w:hAnsi="仿宋" w:eastAsia="仿宋" w:cs="仿宋"/>
          <w:sz w:val="31"/>
          <w:szCs w:val="31"/>
        </w:rPr>
      </w:pPr>
      <w:r>
        <w:rPr>
          <w:rFonts w:ascii="仿宋" w:hAnsi="仿宋" w:eastAsia="仿宋" w:cs="仿宋"/>
          <w:spacing w:val="-5"/>
          <w:sz w:val="31"/>
          <w:szCs w:val="31"/>
        </w:rPr>
        <w:t>考核系数计算方式详见</w:t>
      </w:r>
      <w:r>
        <w:rPr>
          <w:rFonts w:hint="eastAsia" w:ascii="仿宋" w:hAnsi="仿宋" w:eastAsia="仿宋" w:cs="仿宋"/>
          <w:spacing w:val="-5"/>
          <w:sz w:val="31"/>
          <w:szCs w:val="31"/>
          <w:lang w:val="en-US" w:eastAsia="zh-CN"/>
        </w:rPr>
        <w:t>区</w:t>
      </w:r>
      <w:r>
        <w:rPr>
          <w:rFonts w:ascii="仿宋" w:hAnsi="仿宋" w:eastAsia="仿宋" w:cs="仿宋"/>
          <w:spacing w:val="-5"/>
          <w:sz w:val="31"/>
          <w:szCs w:val="31"/>
        </w:rPr>
        <w:t>属</w:t>
      </w:r>
      <w:r>
        <w:rPr>
          <w:rFonts w:hint="eastAsia" w:ascii="仿宋" w:hAnsi="仿宋" w:eastAsia="仿宋" w:cs="仿宋"/>
          <w:spacing w:val="-5"/>
          <w:sz w:val="31"/>
          <w:szCs w:val="31"/>
          <w:lang w:val="en-US" w:eastAsia="zh-CN"/>
        </w:rPr>
        <w:t>国有</w:t>
      </w:r>
      <w:r>
        <w:rPr>
          <w:rFonts w:ascii="仿宋" w:hAnsi="仿宋" w:eastAsia="仿宋" w:cs="仿宋"/>
          <w:spacing w:val="-5"/>
          <w:sz w:val="31"/>
          <w:szCs w:val="31"/>
        </w:rPr>
        <w:t>企业负责人经营业绩考核制</w:t>
      </w:r>
      <w:bookmarkStart w:id="30" w:name="_GoBack"/>
      <w:bookmarkEnd w:id="30"/>
      <w:r>
        <w:rPr>
          <w:rFonts w:ascii="仿宋" w:hAnsi="仿宋" w:eastAsia="仿宋" w:cs="仿宋"/>
          <w:spacing w:val="-5"/>
          <w:sz w:val="31"/>
          <w:szCs w:val="31"/>
        </w:rPr>
        <w:t>度。</w:t>
      </w:r>
    </w:p>
    <w:p w14:paraId="100C683D">
      <w:pPr>
        <w:keepNext w:val="0"/>
        <w:keepLines w:val="0"/>
        <w:pageBreakBefore w:val="0"/>
        <w:widowControl/>
        <w:kinsoku/>
        <w:wordWrap/>
        <w:overflowPunct/>
        <w:topLinePunct w:val="0"/>
        <w:autoSpaceDE w:val="0"/>
        <w:autoSpaceDN w:val="0"/>
        <w:bidi w:val="0"/>
        <w:adjustRightInd w:val="0"/>
        <w:snapToGrid w:val="0"/>
        <w:spacing w:before="0" w:beforeLines="100" w:line="221" w:lineRule="auto"/>
        <w:ind w:left="2801"/>
        <w:textAlignment w:val="baseline"/>
        <w:rPr>
          <w:rFonts w:ascii="仿宋" w:hAnsi="仿宋" w:eastAsia="仿宋" w:cs="仿宋"/>
          <w:spacing w:val="9"/>
          <w:sz w:val="24"/>
          <w:szCs w:val="24"/>
        </w:rPr>
      </w:pPr>
      <w:r>
        <w:rPr>
          <w:rFonts w:ascii="仿宋" w:hAnsi="仿宋" w:eastAsia="仿宋" w:cs="仿宋"/>
          <w:spacing w:val="9"/>
          <w:sz w:val="24"/>
          <w:szCs w:val="24"/>
        </w:rPr>
        <w:t>表6</w:t>
      </w:r>
      <w:r>
        <w:rPr>
          <w:rFonts w:hint="eastAsia" w:ascii="仿宋" w:hAnsi="仿宋" w:eastAsia="仿宋" w:cs="仿宋"/>
          <w:spacing w:val="9"/>
          <w:sz w:val="24"/>
          <w:szCs w:val="24"/>
          <w:lang w:eastAsia="zh-CN"/>
        </w:rPr>
        <w:t>：</w:t>
      </w:r>
      <w:r>
        <w:rPr>
          <w:rFonts w:ascii="仿宋" w:hAnsi="仿宋" w:eastAsia="仿宋" w:cs="仿宋"/>
          <w:spacing w:val="9"/>
          <w:sz w:val="24"/>
          <w:szCs w:val="24"/>
        </w:rPr>
        <w:t>年度经营业绩考核系数A计算表</w:t>
      </w:r>
    </w:p>
    <w:p w14:paraId="703E8FFC">
      <w:pPr>
        <w:keepNext w:val="0"/>
        <w:keepLines w:val="0"/>
        <w:pageBreakBefore w:val="0"/>
        <w:widowControl/>
        <w:kinsoku/>
        <w:wordWrap/>
        <w:overflowPunct/>
        <w:topLinePunct w:val="0"/>
        <w:bidi w:val="0"/>
        <w:spacing w:line="51" w:lineRule="exact"/>
      </w:pPr>
    </w:p>
    <w:tbl>
      <w:tblPr>
        <w:tblStyle w:val="6"/>
        <w:tblW w:w="820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2237"/>
        <w:gridCol w:w="4280"/>
      </w:tblGrid>
      <w:tr w14:paraId="69C9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83" w:type="dxa"/>
            <w:vAlign w:val="top"/>
          </w:tcPr>
          <w:p w14:paraId="36942E2E">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年度经营业绩考核得分a</w:t>
            </w:r>
          </w:p>
        </w:tc>
        <w:tc>
          <w:tcPr>
            <w:tcW w:w="2237" w:type="dxa"/>
            <w:vAlign w:val="top"/>
          </w:tcPr>
          <w:p w14:paraId="3DE79E5B">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w:t>
            </w:r>
            <w:r>
              <w:rPr>
                <w:rFonts w:hint="eastAsia" w:ascii="仿宋" w:hAnsi="仿宋" w:eastAsia="仿宋" w:cs="仿宋"/>
                <w:b/>
                <w:bCs/>
                <w:spacing w:val="1"/>
                <w:sz w:val="24"/>
                <w:szCs w:val="24"/>
                <w:lang w:eastAsia="zh-CN"/>
              </w:rPr>
              <w:t>业绩考核</w:t>
            </w:r>
            <w:r>
              <w:rPr>
                <w:rFonts w:hint="eastAsia" w:ascii="仿宋" w:hAnsi="仿宋" w:eastAsia="仿宋" w:cs="仿宋"/>
                <w:b/>
                <w:bCs/>
                <w:spacing w:val="1"/>
                <w:sz w:val="24"/>
                <w:szCs w:val="24"/>
              </w:rPr>
              <w:t>系数A区间</w:t>
            </w:r>
          </w:p>
        </w:tc>
        <w:tc>
          <w:tcPr>
            <w:tcW w:w="4280" w:type="dxa"/>
            <w:vAlign w:val="top"/>
          </w:tcPr>
          <w:p w14:paraId="4BC507C9">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年度经营业绩考核系数A计算公式</w:t>
            </w:r>
          </w:p>
        </w:tc>
      </w:tr>
      <w:tr w14:paraId="0E74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683" w:type="dxa"/>
            <w:vAlign w:val="top"/>
          </w:tcPr>
          <w:p w14:paraId="1490F9DC">
            <w:pPr>
              <w:keepNext w:val="0"/>
              <w:keepLines w:val="0"/>
              <w:pageBreakBefore w:val="0"/>
              <w:widowControl/>
              <w:kinsoku/>
              <w:wordWrap/>
              <w:overflowPunct/>
              <w:topLinePunct w:val="0"/>
              <w:bidi w:val="0"/>
              <w:spacing w:before="224" w:line="222" w:lineRule="auto"/>
              <w:ind w:left="184" w:right="67" w:hanging="110"/>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100，120</w:t>
            </w:r>
            <w:r>
              <w:rPr>
                <w:rFonts w:hint="eastAsia" w:ascii="仿宋" w:hAnsi="仿宋" w:eastAsia="仿宋" w:cs="仿宋"/>
                <w:spacing w:val="1"/>
                <w:sz w:val="24"/>
                <w:szCs w:val="24"/>
              </w:rPr>
              <w:t>]</w:t>
            </w:r>
          </w:p>
        </w:tc>
        <w:tc>
          <w:tcPr>
            <w:tcW w:w="2237" w:type="dxa"/>
            <w:vAlign w:val="top"/>
          </w:tcPr>
          <w:p w14:paraId="583C9B94">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0.15</w:t>
            </w:r>
            <w:r>
              <w:rPr>
                <w:rFonts w:hint="eastAsia" w:ascii="仿宋" w:hAnsi="仿宋" w:eastAsia="仿宋" w:cs="仿宋"/>
                <w:spacing w:val="1"/>
                <w:sz w:val="24"/>
                <w:szCs w:val="24"/>
              </w:rPr>
              <w:t>]</w:t>
            </w:r>
          </w:p>
        </w:tc>
        <w:tc>
          <w:tcPr>
            <w:tcW w:w="4280" w:type="dxa"/>
            <w:vAlign w:val="top"/>
          </w:tcPr>
          <w:p w14:paraId="49F9FAEA">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0.1+0.05</w:t>
            </w:r>
            <w:r>
              <w:rPr>
                <w:rFonts w:hint="eastAsia" w:ascii="仿宋" w:hAnsi="仿宋" w:eastAsia="仿宋" w:cs="仿宋"/>
                <w:spacing w:val="1"/>
                <w:sz w:val="24"/>
                <w:szCs w:val="24"/>
              </w:rPr>
              <w:t>*(a-100)</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(120-100)</w:t>
            </w:r>
          </w:p>
        </w:tc>
      </w:tr>
      <w:tr w14:paraId="2B47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83" w:type="dxa"/>
            <w:vAlign w:val="top"/>
          </w:tcPr>
          <w:p w14:paraId="055C9184">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100]</w:t>
            </w:r>
          </w:p>
        </w:tc>
        <w:tc>
          <w:tcPr>
            <w:tcW w:w="2237" w:type="dxa"/>
            <w:vAlign w:val="top"/>
          </w:tcPr>
          <w:p w14:paraId="3A0EB1BE">
            <w:pPr>
              <w:keepNext w:val="0"/>
              <w:keepLines w:val="0"/>
              <w:pageBreakBefore w:val="0"/>
              <w:widowControl/>
              <w:kinsoku/>
              <w:wordWrap/>
              <w:overflowPunct/>
              <w:topLinePunct w:val="0"/>
              <w:bidi w:val="0"/>
              <w:spacing w:before="224" w:line="222" w:lineRule="auto"/>
              <w:ind w:left="184" w:right="67" w:hanging="110"/>
              <w:jc w:val="center"/>
              <w:rPr>
                <w:rFonts w:hint="default" w:ascii="仿宋" w:hAnsi="仿宋" w:eastAsia="仿宋" w:cs="仿宋"/>
                <w:spacing w:val="1"/>
                <w:sz w:val="24"/>
                <w:szCs w:val="24"/>
                <w:lang w:val="en-US"/>
              </w:rPr>
            </w:pP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w:t>
            </w:r>
          </w:p>
        </w:tc>
        <w:tc>
          <w:tcPr>
            <w:tcW w:w="4280" w:type="dxa"/>
            <w:vAlign w:val="top"/>
          </w:tcPr>
          <w:p w14:paraId="527016E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0</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a-</w:t>
            </w:r>
            <w:r>
              <w:rPr>
                <w:rFonts w:hint="eastAsia" w:ascii="仿宋" w:hAnsi="仿宋" w:eastAsia="仿宋" w:cs="仿宋"/>
                <w:spacing w:val="1"/>
                <w:sz w:val="24"/>
                <w:szCs w:val="24"/>
              </w:rPr>
              <w:t>80)</w:t>
            </w:r>
            <w:r>
              <w:rPr>
                <w:rFonts w:hint="eastAsia" w:ascii="仿宋" w:hAnsi="仿宋" w:eastAsia="仿宋" w:cs="仿宋"/>
                <w:spacing w:val="1"/>
                <w:sz w:val="24"/>
                <w:szCs w:val="24"/>
                <w:lang w:val="en-US" w:eastAsia="zh-CN"/>
              </w:rPr>
              <w:t>/（100-80）</w:t>
            </w:r>
          </w:p>
        </w:tc>
      </w:tr>
      <w:tr w14:paraId="3B58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83" w:type="dxa"/>
            <w:vAlign w:val="top"/>
          </w:tcPr>
          <w:p w14:paraId="063D358C">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60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80]</w:t>
            </w:r>
          </w:p>
        </w:tc>
        <w:tc>
          <w:tcPr>
            <w:tcW w:w="2237" w:type="dxa"/>
            <w:vAlign w:val="top"/>
          </w:tcPr>
          <w:p w14:paraId="5DD0A133">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-0.05,</w:t>
            </w:r>
            <w:r>
              <w:rPr>
                <w:rFonts w:hint="eastAsia" w:ascii="仿宋" w:hAnsi="仿宋" w:eastAsia="仿宋" w:cs="仿宋"/>
                <w:spacing w:val="1"/>
                <w:sz w:val="24"/>
                <w:szCs w:val="24"/>
                <w:lang w:val="en-US" w:eastAsia="zh-CN"/>
              </w:rPr>
              <w:t>0</w:t>
            </w:r>
            <w:r>
              <w:rPr>
                <w:rFonts w:hint="eastAsia" w:ascii="仿宋" w:hAnsi="仿宋" w:eastAsia="仿宋" w:cs="仿宋"/>
                <w:spacing w:val="1"/>
                <w:sz w:val="24"/>
                <w:szCs w:val="24"/>
              </w:rPr>
              <w:t>]</w:t>
            </w:r>
          </w:p>
        </w:tc>
        <w:tc>
          <w:tcPr>
            <w:tcW w:w="4280" w:type="dxa"/>
            <w:vAlign w:val="top"/>
          </w:tcPr>
          <w:p w14:paraId="7C1FC5CE">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-0.05+0.05*(a-60)</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(80-60)</w:t>
            </w:r>
          </w:p>
        </w:tc>
      </w:tr>
      <w:tr w14:paraId="6530D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683" w:type="dxa"/>
            <w:vAlign w:val="top"/>
          </w:tcPr>
          <w:p w14:paraId="6621FBD9">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60]</w:t>
            </w:r>
          </w:p>
        </w:tc>
        <w:tc>
          <w:tcPr>
            <w:tcW w:w="2237" w:type="dxa"/>
            <w:vAlign w:val="top"/>
          </w:tcPr>
          <w:p w14:paraId="483511E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rPr>
            </w:pPr>
            <w:r>
              <w:rPr>
                <w:rFonts w:hint="eastAsia" w:ascii="仿宋" w:hAnsi="仿宋" w:eastAsia="仿宋" w:cs="仿宋"/>
                <w:spacing w:val="1"/>
                <w:sz w:val="24"/>
                <w:szCs w:val="24"/>
              </w:rPr>
              <w:t>-0.05</w:t>
            </w:r>
          </w:p>
        </w:tc>
        <w:tc>
          <w:tcPr>
            <w:tcW w:w="4280" w:type="dxa"/>
            <w:vAlign w:val="top"/>
          </w:tcPr>
          <w:p w14:paraId="72597531">
            <w:pPr>
              <w:keepNext w:val="0"/>
              <w:keepLines w:val="0"/>
              <w:pageBreakBefore w:val="0"/>
              <w:widowControl/>
              <w:kinsoku/>
              <w:wordWrap/>
              <w:overflowPunct/>
              <w:topLinePunct w:val="0"/>
              <w:bidi w:val="0"/>
              <w:spacing w:before="224" w:line="222" w:lineRule="auto"/>
              <w:ind w:left="184" w:right="67" w:hanging="11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w:t>
            </w:r>
          </w:p>
        </w:tc>
      </w:tr>
    </w:tbl>
    <w:p w14:paraId="067A4F7D">
      <w:pPr>
        <w:keepNext w:val="0"/>
        <w:keepLines w:val="0"/>
        <w:pageBreakBefore w:val="0"/>
        <w:widowControl/>
        <w:kinsoku/>
        <w:wordWrap/>
        <w:overflowPunct/>
        <w:topLinePunct w:val="0"/>
        <w:bidi w:val="0"/>
        <w:rPr>
          <w:rFonts w:ascii="Arial"/>
          <w:sz w:val="21"/>
        </w:rPr>
      </w:pPr>
    </w:p>
    <w:sectPr>
      <w:footerReference r:id="rId9" w:type="default"/>
      <w:pgSz w:w="11900" w:h="16920"/>
      <w:pgMar w:top="1438" w:right="1474" w:bottom="1479" w:left="1785" w:header="0" w:footer="12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BE97">
    <w:pPr>
      <w:spacing w:line="183" w:lineRule="auto"/>
      <w:ind w:left="409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1520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E1520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B052">
    <w:pPr>
      <w:spacing w:before="1" w:line="183" w:lineRule="auto"/>
      <w:ind w:left="4040"/>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586A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3586A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8BC8">
    <w:pPr>
      <w:spacing w:line="183" w:lineRule="auto"/>
      <w:ind w:left="404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71803">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871803">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861A">
    <w:pPr>
      <w:spacing w:line="183" w:lineRule="auto"/>
      <w:ind w:left="400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6CBD3">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A46CBD3">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16A8">
    <w:pPr>
      <w:spacing w:before="1" w:line="183" w:lineRule="auto"/>
      <w:ind w:left="3994"/>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BBFFD">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3BBFFD">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U0ZjY5NGE2M2I4NzQ0MGFiZmY0MDllNWY3NTExNTAifQ=="/>
  </w:docVars>
  <w:rsids>
    <w:rsidRoot w:val="00000000"/>
    <w:rsid w:val="01723355"/>
    <w:rsid w:val="062846DE"/>
    <w:rsid w:val="095C6BA4"/>
    <w:rsid w:val="0D8C0762"/>
    <w:rsid w:val="10345E04"/>
    <w:rsid w:val="11457119"/>
    <w:rsid w:val="180210CC"/>
    <w:rsid w:val="1AF35E37"/>
    <w:rsid w:val="1B381BF2"/>
    <w:rsid w:val="1C534DE0"/>
    <w:rsid w:val="1EDC7AA7"/>
    <w:rsid w:val="271A479E"/>
    <w:rsid w:val="2D1F432E"/>
    <w:rsid w:val="36D51AF9"/>
    <w:rsid w:val="3BB24EE2"/>
    <w:rsid w:val="3CB60D47"/>
    <w:rsid w:val="3DC14777"/>
    <w:rsid w:val="47521173"/>
    <w:rsid w:val="4C847125"/>
    <w:rsid w:val="5ADC141A"/>
    <w:rsid w:val="61B71F6F"/>
    <w:rsid w:val="64D16A64"/>
    <w:rsid w:val="65882E18"/>
    <w:rsid w:val="72A060E7"/>
    <w:rsid w:val="7AB4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8735</Words>
  <Characters>9165</Characters>
  <TotalTime>4</TotalTime>
  <ScaleCrop>false</ScaleCrop>
  <LinksUpToDate>false</LinksUpToDate>
  <CharactersWithSpaces>9223</CharactersWithSpaces>
  <Application>WPS Office_12.1.0.17813_F1E327BC-269C-435d-A152-05C5408002CA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2023-09-12T14:59:00Z</dcterms:created>
  <dc:creator>Kingsoft-PDF</dc:creator>
  <cp:lastModifiedBy>郑婕</cp:lastModifiedBy>
  <dcterms:modified xsi:type="dcterms:W3CDTF">2024-10-16T12:34:07Z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2023-09-12T14:59:18Z</vt:filetime>
  </property>
  <property fmtid="{D5CDD505-2E9C-101B-9397-08002B2CF9AE}" pid="4" name="UsrData">
    <vt:lpwstr>65000c3feb3e80001f99334dwl</vt:lpwstr>
  </property>
  <property fmtid="{D5CDD505-2E9C-101B-9397-08002B2CF9AE}" pid="5" name="KSOProductBuildVer">
    <vt:lpwstr>2052-12.1.0.17813</vt:lpwstr>
  </property>
  <property fmtid="{D5CDD505-2E9C-101B-9397-08002B2CF9AE}" pid="6" name="ICV">
    <vt:lpwstr>92AB91B4E93D4186AAC69A7966B795C2_13</vt:lpwstr>
  </property>
</Properties>
</file>