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2FFAA">
      <w:pPr>
        <w:spacing w:line="600" w:lineRule="exact"/>
        <w:jc w:val="center"/>
        <w:rPr>
          <w:rFonts w:hint="eastAsia" w:ascii="仿宋_GB2312" w:hAnsi="仿宋_GB2312" w:eastAsia="仿宋_GB2312"/>
          <w:b/>
          <w:bCs/>
          <w:sz w:val="44"/>
          <w:szCs w:val="44"/>
        </w:rPr>
      </w:pPr>
    </w:p>
    <w:p w14:paraId="4C99F11D">
      <w:pPr>
        <w:spacing w:line="600" w:lineRule="exact"/>
        <w:jc w:val="center"/>
        <w:rPr>
          <w:rFonts w:hint="eastAsia" w:ascii="仿宋_GB2312" w:hAnsi="仿宋_GB2312" w:eastAsia="仿宋_GB2312"/>
          <w:b/>
          <w:bCs/>
          <w:sz w:val="44"/>
          <w:szCs w:val="44"/>
        </w:rPr>
      </w:pPr>
    </w:p>
    <w:p w14:paraId="450BA6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8"/>
          <w:lang w:val="en-US" w:eastAsia="zh-CN"/>
          <w14:textFill>
            <w14:solidFill>
              <w14:schemeClr w14:val="tx1"/>
            </w14:solidFill>
          </w14:textFill>
        </w:rPr>
      </w:pPr>
      <w:bookmarkStart w:id="4" w:name="_GoBack"/>
      <w:bookmarkEnd w:id="4"/>
      <w:r>
        <w:rPr>
          <w:rFonts w:hint="eastAsia" w:ascii="方正小标宋简体" w:hAnsi="方正小标宋简体" w:eastAsia="方正小标宋简体" w:cs="方正小标宋简体"/>
          <w:color w:val="000000" w:themeColor="text1"/>
          <w:sz w:val="44"/>
          <w:szCs w:val="48"/>
          <w:lang w:val="en-US" w:eastAsia="zh-CN"/>
          <w14:textFill>
            <w14:solidFill>
              <w14:schemeClr w14:val="tx1"/>
            </w14:solidFill>
          </w14:textFill>
        </w:rPr>
        <w:t>汕尾市城区二马路东段民主广场及周边</w:t>
      </w:r>
    </w:p>
    <w:p w14:paraId="0ED6FA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8"/>
          <w:lang w:val="en-US" w:eastAsia="zh-CN"/>
          <w14:textFill>
            <w14:solidFill>
              <w14:schemeClr w14:val="tx1"/>
            </w14:solidFill>
          </w14:textFill>
        </w:rPr>
        <w:t>自建房屋征收补偿方案</w:t>
      </w:r>
    </w:p>
    <w:p w14:paraId="4645E1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79FA5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住房安全及公共利益，汕尾市城区人民政府决定对汕尾市城区二马路东段民主广场及周边自建房屋实施征收，为更好地贯彻执行征收补偿政策，保障被征收权利人的合法权益，依据《国有土地上房屋征收与补偿条例》（第590号令）等有关法律法规及规范性文件，结合本项目实际情况，制定本征收补偿方案。</w:t>
      </w:r>
    </w:p>
    <w:p w14:paraId="4EB758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一、房屋征收目的</w:t>
      </w:r>
    </w:p>
    <w:p w14:paraId="48E9C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征收范围内的房屋经鉴定多为危房，为做好房屋排险解危工作，避免发生安全事故，消除安全隐患。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p>
    <w:p w14:paraId="6DF31E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二、房屋征收补偿原则</w:t>
      </w:r>
    </w:p>
    <w:p w14:paraId="47FE62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房屋征收补偿遵循决策科学民主、程序正当合法、结果公平公开原则，对被征收人给予公平补偿。</w:t>
      </w:r>
    </w:p>
    <w:p w14:paraId="5717A1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三、征收范围</w:t>
      </w:r>
    </w:p>
    <w:p w14:paraId="0DB4B6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汕尾市城区二马路东段民主广场一、二巷及房管仓库。</w:t>
      </w:r>
    </w:p>
    <w:p w14:paraId="35D1E2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四、征收单位</w:t>
      </w:r>
    </w:p>
    <w:p w14:paraId="30C05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（一）征收主体：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汕尾市城区人民政府。</w:t>
      </w:r>
    </w:p>
    <w:p w14:paraId="78616B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（二）征收部门：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汕尾市城区住房和城乡建设局。</w:t>
      </w:r>
    </w:p>
    <w:p w14:paraId="7E75A2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（三）征收实施单位：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汕尾市城区新港街道办事处、汕尾市城区凤山街道办事处。</w:t>
      </w:r>
    </w:p>
    <w:p w14:paraId="65F3C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五、被征收人</w:t>
      </w:r>
    </w:p>
    <w:p w14:paraId="65AB3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本项目区域内涉及被征收的房屋所有权人、政府授权的国有房屋管理人为被征收人。</w:t>
      </w:r>
    </w:p>
    <w:p w14:paraId="762C9E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、补偿协议签订及签约期限</w:t>
      </w:r>
    </w:p>
    <w:p w14:paraId="51932C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发布征收公告公示之日起30天内为房屋征收补偿签约期限。</w:t>
      </w:r>
    </w:p>
    <w:p w14:paraId="3B8AC6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、权属、用途、面积核定</w:t>
      </w:r>
    </w:p>
    <w:p w14:paraId="05115B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（一）用地权属认定：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以不动产权证、房地产权证、国有土地使用证、政府或国土部门批准用地证明等相关合法有效土地权属证明材料为依据。</w:t>
      </w:r>
    </w:p>
    <w:p w14:paraId="40B63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（二）土地、房屋面积认定：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人具有合法有效产权证书的，按合法有效产权证书记载的面积为准；合法有效权属证明材料记载面积与现状房屋面积不符及未登记房屋产权的，且在《汕尾市人民政府关于依法严厉查处违法建设的通告》（汕府〔2015〕73号）文即2015年9月24日发布前建设的，按中华人民共和国国家标准《房产测量规范GB/T17986.1-2000》有关规定，由具有测绘资质的第三方测绘机构与被征收人一同对现状房屋进行测量，房屋建筑面积以第三方测绘机构测绘面积为准。</w:t>
      </w:r>
    </w:p>
    <w:p w14:paraId="5D2E37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（三）土地、房屋用途认定：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有合法有效产权属证明材料的以有效产权属证明材料记载用途为准，没有记载用途，依据房屋现状功能与实际用途予以认定。</w:t>
      </w:r>
    </w:p>
    <w:p w14:paraId="68E63A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根据有关法律法规及政策规定应予补偿的其他情形，按照相关规定执行。</w:t>
      </w:r>
    </w:p>
    <w:p w14:paraId="507B07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lang w:eastAsia="zh-CN"/>
          <w14:textFill>
            <w14:solidFill>
              <w14:schemeClr w14:val="tx1"/>
            </w14:solidFill>
          </w14:textFill>
        </w:rPr>
        <w:t>、第三方</w:t>
      </w:r>
      <w:r>
        <w:rPr>
          <w:rFonts w:hint="eastAsia" w:ascii="黑体" w:hAnsi="黑体" w:eastAsia="黑体" w:cs="黑体"/>
          <w:color w:val="000000" w:themeColor="text1"/>
          <w:sz w:val="32"/>
          <w:szCs w:val="32"/>
          <w:lang w:val="en-US" w:eastAsia="zh-CN"/>
          <w14:textFill>
            <w14:solidFill>
              <w14:schemeClr w14:val="tx1"/>
            </w14:solidFill>
          </w14:textFill>
        </w:rPr>
        <w:t>服务机构选择</w:t>
      </w:r>
    </w:p>
    <w:p w14:paraId="480976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（一）房屋价值评估机构选择：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地产价格评估机构由被征收人在政府作出房屋征收决定并公告后10个工作日内协商选定；在规定时间内不能协商选定的，由房屋征收部门组织被征收人采取摇号、抽签等随机方式确定，参加随机确定的房地产价格评估机构不得少于3家，随机确定房地产价格评估机构时应当由公证部门现场公证。</w:t>
      </w:r>
    </w:p>
    <w:p w14:paraId="34BAAB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房屋征收可以向从事房屋征收业务或具备相应工作经验的第三方机构采购房屋征收相关服务，所需工作经费由征收部门予以保障，并列入征收成本。</w:t>
      </w:r>
    </w:p>
    <w:p w14:paraId="337C1C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九、房屋价值评估基本原则</w:t>
      </w:r>
    </w:p>
    <w:p w14:paraId="32C7D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（一）被征收房屋的价值，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由选定的房地产评估机构，依据《国有土地上房屋征收与补偿条例》（第590号令）、《国有土地上房屋征收评估办法》（建房〔2011〕77号）以及相关法律法规规定，结合本补偿安置方案所制定的政策进行评估。</w:t>
      </w:r>
    </w:p>
    <w:p w14:paraId="30FD53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（二）房屋价值评估，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被征收房屋区位、用途、建筑结构新旧程度、建筑面积以及占地面积、土地使用权、室内装修档次等，在房屋征收决定公告之日为评估价值时点，按照被征收房屋的类似房地产的市场价格，分别对土地价值、建筑物、室内装修进行房地产一体化评估，房屋价值评估报告作为被征收房屋补偿价值依据。</w:t>
      </w:r>
    </w:p>
    <w:p w14:paraId="67E98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被征收范围内被征收人应配合第三方房屋调查登记与测绘机构、房屋价值评估机构工作人员进行实地丈量查勘，确保房屋面积、用途、结构与房屋价值评估结果公平、公正、合法有效。</w:t>
      </w:r>
    </w:p>
    <w:p w14:paraId="15DD4C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被征收人不协助第三方服务机构对被征收房屋进行实地丈量查勘或提供不实情况和资料造成评估失实或其他后果的，被征收人应承担相应责任。</w:t>
      </w:r>
    </w:p>
    <w:p w14:paraId="1231B3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十、评估价值时点</w:t>
      </w:r>
    </w:p>
    <w:p w14:paraId="76E00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被征收房屋价值评估时点为作出房屋征收决定之日。</w:t>
      </w:r>
    </w:p>
    <w:p w14:paraId="0F032E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十一、被征收房屋类型及补偿方式</w:t>
      </w:r>
    </w:p>
    <w:p w14:paraId="258230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被征收房屋已办理房产证的，按被征收房屋土地价值+建筑物价值+装修价值+构筑物价值+临时安置费+搬迁费+设备迁移费等给予补偿补助。</w:t>
      </w:r>
    </w:p>
    <w:p w14:paraId="069784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被征收房屋属没有合法有效证件、建设用地手续不完善的，在汕府〔2015〕73号文即2015年9月24日发布前建设的，按被征收房屋建筑物价值+装修价值+构筑物价值+临时安置费+搬迁费+设备迁移费等给予补偿补助。</w:t>
      </w:r>
    </w:p>
    <w:p w14:paraId="641380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bookmarkStart w:id="0" w:name="_Toc12519"/>
      <w:r>
        <w:rPr>
          <w:rFonts w:hint="eastAsia" w:ascii="黑体" w:hAnsi="黑体" w:eastAsia="黑体" w:cs="黑体"/>
          <w:color w:val="000000" w:themeColor="text1"/>
          <w:sz w:val="32"/>
          <w:szCs w:val="32"/>
          <w:lang w:val="en-US" w:eastAsia="zh-CN"/>
          <w14:textFill>
            <w14:solidFill>
              <w14:schemeClr w14:val="tx1"/>
            </w14:solidFill>
          </w14:textFill>
        </w:rPr>
        <w:t>十二</w:t>
      </w:r>
      <w:r>
        <w:rPr>
          <w:rFonts w:hint="eastAsia" w:ascii="黑体" w:hAnsi="黑体" w:eastAsia="黑体" w:cs="黑体"/>
          <w:color w:val="000000" w:themeColor="text1"/>
          <w:sz w:val="32"/>
          <w:szCs w:val="32"/>
          <w14:textFill>
            <w14:solidFill>
              <w14:schemeClr w14:val="tx1"/>
            </w14:solidFill>
          </w14:textFill>
        </w:rPr>
        <w:t>、</w:t>
      </w:r>
      <w:bookmarkEnd w:id="0"/>
      <w:r>
        <w:rPr>
          <w:rFonts w:hint="eastAsia" w:ascii="黑体" w:hAnsi="黑体" w:eastAsia="黑体" w:cs="黑体"/>
          <w:color w:val="000000" w:themeColor="text1"/>
          <w:sz w:val="32"/>
          <w:szCs w:val="32"/>
          <w:lang w:val="en-US" w:eastAsia="zh-CN"/>
          <w14:textFill>
            <w14:solidFill>
              <w14:schemeClr w14:val="tx1"/>
            </w14:solidFill>
          </w14:textFill>
        </w:rPr>
        <w:t>房屋征收补偿标准</w:t>
      </w:r>
    </w:p>
    <w:p w14:paraId="368F11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（一）被征收房屋的价值补偿。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不低于房屋征收决定公告之日被征收房屋类似房地产的市场价格，具体价值由具有相应资质的房地产价格评估机构按《国有土地上房屋征收评估办法》及相关法律法规规定评估确定。房屋价值估价方法如下：</w:t>
      </w:r>
    </w:p>
    <w:p w14:paraId="0252F2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1.被征收房屋的类似房地产有交易的，按市场法进行评估；</w:t>
      </w:r>
    </w:p>
    <w:p w14:paraId="1316E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2.被征收房屋或者其他类似房地产有经济收益的，按收益法进行评估；</w:t>
      </w:r>
    </w:p>
    <w:p w14:paraId="1BE131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3.被征收房屋的类似房地产没有交易，且没有经济收益的，按成本法进行评估。</w:t>
      </w:r>
    </w:p>
    <w:p w14:paraId="6A43E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（二）建筑物（房屋）价值补偿。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被征收房屋建筑物的补偿价值，根据合法有效产权证书及入户调查登记的房屋结构类型，由具有相应资质的房地产价格评估机构，按照评估确定的重置价给予补偿。</w:t>
      </w:r>
    </w:p>
    <w:p w14:paraId="33FDE0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附表：建筑物（房屋）价值指导价</w:t>
      </w:r>
    </w:p>
    <w:tbl>
      <w:tblPr>
        <w:tblStyle w:val="10"/>
        <w:tblpPr w:leftFromText="180" w:rightFromText="180" w:vertAnchor="text" w:horzAnchor="page" w:tblpXSpec="center" w:tblpY="277"/>
        <w:tblOverlap w:val="never"/>
        <w:tblW w:w="8993" w:type="dxa"/>
        <w:jc w:val="center"/>
        <w:tblLayout w:type="fixed"/>
        <w:tblCellMar>
          <w:top w:w="0" w:type="dxa"/>
          <w:left w:w="108" w:type="dxa"/>
          <w:bottom w:w="0" w:type="dxa"/>
          <w:right w:w="108" w:type="dxa"/>
        </w:tblCellMar>
      </w:tblPr>
      <w:tblGrid>
        <w:gridCol w:w="2580"/>
        <w:gridCol w:w="1613"/>
        <w:gridCol w:w="1650"/>
        <w:gridCol w:w="1575"/>
        <w:gridCol w:w="1575"/>
      </w:tblGrid>
      <w:tr w14:paraId="6809BE15">
        <w:tblPrEx>
          <w:tblCellMar>
            <w:top w:w="0" w:type="dxa"/>
            <w:left w:w="108" w:type="dxa"/>
            <w:bottom w:w="0" w:type="dxa"/>
            <w:right w:w="108" w:type="dxa"/>
          </w:tblCellMar>
        </w:tblPrEx>
        <w:trPr>
          <w:trHeight w:val="454" w:hRule="atLeast"/>
          <w:jc w:val="center"/>
        </w:trPr>
        <w:tc>
          <w:tcPr>
            <w:tcW w:w="2580" w:type="dxa"/>
            <w:tcBorders>
              <w:top w:val="single" w:color="000000" w:sz="4" w:space="0"/>
              <w:left w:val="single" w:color="000000" w:sz="4" w:space="0"/>
              <w:bottom w:val="single" w:color="000000" w:sz="4" w:space="0"/>
              <w:right w:val="single" w:color="000000" w:sz="4" w:space="0"/>
            </w:tcBorders>
            <w:vAlign w:val="center"/>
          </w:tcPr>
          <w:p w14:paraId="75406B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房屋结构类别</w:t>
            </w:r>
          </w:p>
        </w:tc>
        <w:tc>
          <w:tcPr>
            <w:tcW w:w="1613" w:type="dxa"/>
            <w:tcBorders>
              <w:top w:val="single" w:color="000000" w:sz="4" w:space="0"/>
              <w:left w:val="single" w:color="000000" w:sz="4" w:space="0"/>
              <w:bottom w:val="single" w:color="000000" w:sz="4" w:space="0"/>
              <w:right w:val="single" w:color="000000" w:sz="4" w:space="0"/>
            </w:tcBorders>
            <w:vAlign w:val="center"/>
          </w:tcPr>
          <w:p w14:paraId="0F239C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框架结构</w:t>
            </w:r>
          </w:p>
        </w:tc>
        <w:tc>
          <w:tcPr>
            <w:tcW w:w="1650" w:type="dxa"/>
            <w:tcBorders>
              <w:top w:val="single" w:color="000000" w:sz="4" w:space="0"/>
              <w:left w:val="single" w:color="000000" w:sz="4" w:space="0"/>
              <w:bottom w:val="single" w:color="000000" w:sz="4" w:space="0"/>
              <w:right w:val="single" w:color="000000" w:sz="4" w:space="0"/>
            </w:tcBorders>
            <w:vAlign w:val="center"/>
          </w:tcPr>
          <w:p w14:paraId="0E110B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混合结构</w:t>
            </w:r>
          </w:p>
        </w:tc>
        <w:tc>
          <w:tcPr>
            <w:tcW w:w="1575" w:type="dxa"/>
            <w:tcBorders>
              <w:top w:val="single" w:color="000000" w:sz="4" w:space="0"/>
              <w:left w:val="single" w:color="000000" w:sz="4" w:space="0"/>
              <w:bottom w:val="single" w:color="000000" w:sz="4" w:space="0"/>
              <w:right w:val="single" w:color="000000" w:sz="4" w:space="0"/>
            </w:tcBorders>
            <w:vAlign w:val="center"/>
          </w:tcPr>
          <w:p w14:paraId="5D40A6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砖木结构</w:t>
            </w:r>
          </w:p>
        </w:tc>
        <w:tc>
          <w:tcPr>
            <w:tcW w:w="1575" w:type="dxa"/>
            <w:tcBorders>
              <w:top w:val="single" w:color="000000" w:sz="4" w:space="0"/>
              <w:left w:val="single" w:color="000000" w:sz="4" w:space="0"/>
              <w:bottom w:val="single" w:color="000000" w:sz="4" w:space="0"/>
              <w:right w:val="single" w:color="000000" w:sz="4" w:space="0"/>
            </w:tcBorders>
            <w:vAlign w:val="center"/>
          </w:tcPr>
          <w:p w14:paraId="69439B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简易结构</w:t>
            </w:r>
          </w:p>
        </w:tc>
      </w:tr>
      <w:tr w14:paraId="6EC23D30">
        <w:tblPrEx>
          <w:tblCellMar>
            <w:top w:w="0" w:type="dxa"/>
            <w:left w:w="108" w:type="dxa"/>
            <w:bottom w:w="0" w:type="dxa"/>
            <w:right w:w="108" w:type="dxa"/>
          </w:tblCellMar>
        </w:tblPrEx>
        <w:trPr>
          <w:trHeight w:val="908" w:hRule="atLeast"/>
          <w:jc w:val="center"/>
        </w:trPr>
        <w:tc>
          <w:tcPr>
            <w:tcW w:w="2580" w:type="dxa"/>
            <w:tcBorders>
              <w:top w:val="single" w:color="000000" w:sz="4" w:space="0"/>
              <w:left w:val="single" w:color="000000" w:sz="4" w:space="0"/>
              <w:bottom w:val="single" w:color="000000" w:sz="4" w:space="0"/>
              <w:right w:val="single" w:color="000000" w:sz="4" w:space="0"/>
            </w:tcBorders>
            <w:vAlign w:val="center"/>
          </w:tcPr>
          <w:p w14:paraId="3BD5CE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指导价</w:t>
            </w:r>
          </w:p>
          <w:p w14:paraId="3F2C02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（元/平方米）</w:t>
            </w:r>
          </w:p>
        </w:tc>
        <w:tc>
          <w:tcPr>
            <w:tcW w:w="1613" w:type="dxa"/>
            <w:tcBorders>
              <w:top w:val="single" w:color="000000" w:sz="4" w:space="0"/>
              <w:left w:val="single" w:color="000000" w:sz="4" w:space="0"/>
              <w:bottom w:val="single" w:color="000000" w:sz="4" w:space="0"/>
              <w:right w:val="single" w:color="000000" w:sz="4" w:space="0"/>
            </w:tcBorders>
            <w:vAlign w:val="center"/>
          </w:tcPr>
          <w:p w14:paraId="5B43C8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1800</w:t>
            </w:r>
          </w:p>
        </w:tc>
        <w:tc>
          <w:tcPr>
            <w:tcW w:w="1650" w:type="dxa"/>
            <w:tcBorders>
              <w:top w:val="single" w:color="000000" w:sz="4" w:space="0"/>
              <w:left w:val="single" w:color="000000" w:sz="4" w:space="0"/>
              <w:bottom w:val="single" w:color="000000" w:sz="4" w:space="0"/>
              <w:right w:val="single" w:color="000000" w:sz="4" w:space="0"/>
            </w:tcBorders>
            <w:vAlign w:val="center"/>
          </w:tcPr>
          <w:p w14:paraId="604C68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w:t>
            </w:r>
          </w:p>
        </w:tc>
        <w:tc>
          <w:tcPr>
            <w:tcW w:w="1575" w:type="dxa"/>
            <w:tcBorders>
              <w:top w:val="single" w:color="000000" w:sz="4" w:space="0"/>
              <w:left w:val="single" w:color="000000" w:sz="4" w:space="0"/>
              <w:bottom w:val="single" w:color="000000" w:sz="4" w:space="0"/>
              <w:right w:val="single" w:color="000000" w:sz="4" w:space="0"/>
            </w:tcBorders>
            <w:vAlign w:val="center"/>
          </w:tcPr>
          <w:p w14:paraId="66DAF6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1400</w:t>
            </w:r>
          </w:p>
        </w:tc>
        <w:tc>
          <w:tcPr>
            <w:tcW w:w="1575" w:type="dxa"/>
            <w:tcBorders>
              <w:top w:val="single" w:color="000000" w:sz="4" w:space="0"/>
              <w:left w:val="single" w:color="000000" w:sz="4" w:space="0"/>
              <w:bottom w:val="single" w:color="000000" w:sz="4" w:space="0"/>
              <w:right w:val="single" w:color="000000" w:sz="4" w:space="0"/>
            </w:tcBorders>
            <w:vAlign w:val="center"/>
          </w:tcPr>
          <w:p w14:paraId="7BA20E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w:t>
            </w:r>
          </w:p>
        </w:tc>
      </w:tr>
    </w:tbl>
    <w:p w14:paraId="46053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（三）室内装修价值补偿。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被征收房屋的装修补偿价值，根据装修档次新旧由具有相应资质的房地产价格评估机构，按照评估确定的重置价给予补偿。</w:t>
      </w:r>
    </w:p>
    <w:p w14:paraId="09EE0D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附表：室内装修级别指导价</w:t>
      </w:r>
    </w:p>
    <w:tbl>
      <w:tblPr>
        <w:tblStyle w:val="10"/>
        <w:tblpPr w:leftFromText="180" w:rightFromText="180" w:vertAnchor="text" w:horzAnchor="page" w:tblpX="1243" w:tblpY="277"/>
        <w:tblOverlap w:val="never"/>
        <w:tblW w:w="9872" w:type="dxa"/>
        <w:tblInd w:w="0" w:type="dxa"/>
        <w:tblLayout w:type="fixed"/>
        <w:tblCellMar>
          <w:top w:w="0" w:type="dxa"/>
          <w:left w:w="108" w:type="dxa"/>
          <w:bottom w:w="0" w:type="dxa"/>
          <w:right w:w="108" w:type="dxa"/>
        </w:tblCellMar>
      </w:tblPr>
      <w:tblGrid>
        <w:gridCol w:w="2194"/>
        <w:gridCol w:w="1519"/>
        <w:gridCol w:w="1537"/>
        <w:gridCol w:w="1556"/>
        <w:gridCol w:w="1511"/>
        <w:gridCol w:w="1555"/>
      </w:tblGrid>
      <w:tr w14:paraId="48191825">
        <w:tblPrEx>
          <w:tblCellMar>
            <w:top w:w="0" w:type="dxa"/>
            <w:left w:w="108" w:type="dxa"/>
            <w:bottom w:w="0" w:type="dxa"/>
            <w:right w:w="108" w:type="dxa"/>
          </w:tblCellMar>
        </w:tblPrEx>
        <w:trPr>
          <w:trHeight w:val="454" w:hRule="atLeast"/>
        </w:trPr>
        <w:tc>
          <w:tcPr>
            <w:tcW w:w="2194" w:type="dxa"/>
            <w:tcBorders>
              <w:top w:val="single" w:color="000000" w:sz="4" w:space="0"/>
              <w:left w:val="single" w:color="000000" w:sz="4" w:space="0"/>
              <w:bottom w:val="single" w:color="000000" w:sz="4" w:space="0"/>
              <w:right w:val="single" w:color="000000" w:sz="4" w:space="0"/>
            </w:tcBorders>
            <w:vAlign w:val="center"/>
          </w:tcPr>
          <w:p w14:paraId="3729B9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装修级别</w:t>
            </w:r>
          </w:p>
        </w:tc>
        <w:tc>
          <w:tcPr>
            <w:tcW w:w="1519" w:type="dxa"/>
            <w:tcBorders>
              <w:top w:val="single" w:color="000000" w:sz="4" w:space="0"/>
              <w:left w:val="single" w:color="000000" w:sz="4" w:space="0"/>
              <w:bottom w:val="single" w:color="000000" w:sz="4" w:space="0"/>
              <w:right w:val="single" w:color="000000" w:sz="4" w:space="0"/>
            </w:tcBorders>
            <w:vAlign w:val="center"/>
          </w:tcPr>
          <w:p w14:paraId="2524FB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一级装修</w:t>
            </w:r>
          </w:p>
        </w:tc>
        <w:tc>
          <w:tcPr>
            <w:tcW w:w="1537" w:type="dxa"/>
            <w:tcBorders>
              <w:top w:val="single" w:color="000000" w:sz="4" w:space="0"/>
              <w:left w:val="single" w:color="000000" w:sz="4" w:space="0"/>
              <w:bottom w:val="single" w:color="000000" w:sz="4" w:space="0"/>
              <w:right w:val="single" w:color="000000" w:sz="4" w:space="0"/>
            </w:tcBorders>
            <w:vAlign w:val="center"/>
          </w:tcPr>
          <w:p w14:paraId="2A5642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二级装修</w:t>
            </w:r>
          </w:p>
        </w:tc>
        <w:tc>
          <w:tcPr>
            <w:tcW w:w="1556" w:type="dxa"/>
            <w:tcBorders>
              <w:top w:val="single" w:color="000000" w:sz="4" w:space="0"/>
              <w:left w:val="single" w:color="000000" w:sz="4" w:space="0"/>
              <w:bottom w:val="single" w:color="000000" w:sz="4" w:space="0"/>
              <w:right w:val="single" w:color="000000" w:sz="4" w:space="0"/>
            </w:tcBorders>
            <w:vAlign w:val="center"/>
          </w:tcPr>
          <w:p w14:paraId="396AFE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三级装修</w:t>
            </w:r>
          </w:p>
        </w:tc>
        <w:tc>
          <w:tcPr>
            <w:tcW w:w="1511" w:type="dxa"/>
            <w:tcBorders>
              <w:top w:val="single" w:color="000000" w:sz="4" w:space="0"/>
              <w:left w:val="single" w:color="000000" w:sz="4" w:space="0"/>
              <w:bottom w:val="single" w:color="000000" w:sz="4" w:space="0"/>
              <w:right w:val="single" w:color="000000" w:sz="4" w:space="0"/>
            </w:tcBorders>
            <w:vAlign w:val="center"/>
          </w:tcPr>
          <w:p w14:paraId="44CA99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四级装修</w:t>
            </w:r>
          </w:p>
        </w:tc>
        <w:tc>
          <w:tcPr>
            <w:tcW w:w="1555" w:type="dxa"/>
            <w:tcBorders>
              <w:top w:val="single" w:color="000000" w:sz="4" w:space="0"/>
              <w:left w:val="single" w:color="000000" w:sz="4" w:space="0"/>
              <w:bottom w:val="single" w:color="000000" w:sz="4" w:space="0"/>
              <w:right w:val="single" w:color="000000" w:sz="4" w:space="0"/>
            </w:tcBorders>
            <w:vAlign w:val="center"/>
          </w:tcPr>
          <w:p w14:paraId="197B49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五级装修</w:t>
            </w:r>
          </w:p>
        </w:tc>
      </w:tr>
      <w:tr w14:paraId="4B9C7E84">
        <w:tblPrEx>
          <w:tblCellMar>
            <w:top w:w="0" w:type="dxa"/>
            <w:left w:w="108" w:type="dxa"/>
            <w:bottom w:w="0" w:type="dxa"/>
            <w:right w:w="108" w:type="dxa"/>
          </w:tblCellMar>
        </w:tblPrEx>
        <w:trPr>
          <w:trHeight w:val="908" w:hRule="atLeast"/>
        </w:trPr>
        <w:tc>
          <w:tcPr>
            <w:tcW w:w="2194" w:type="dxa"/>
            <w:tcBorders>
              <w:top w:val="single" w:color="000000" w:sz="4" w:space="0"/>
              <w:left w:val="single" w:color="000000" w:sz="4" w:space="0"/>
              <w:bottom w:val="single" w:color="000000" w:sz="4" w:space="0"/>
              <w:right w:val="single" w:color="000000" w:sz="4" w:space="0"/>
            </w:tcBorders>
            <w:vAlign w:val="center"/>
          </w:tcPr>
          <w:p w14:paraId="09CB28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指导价</w:t>
            </w:r>
          </w:p>
          <w:p w14:paraId="17B42D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（元/平方米）</w:t>
            </w:r>
          </w:p>
        </w:tc>
        <w:tc>
          <w:tcPr>
            <w:tcW w:w="1519" w:type="dxa"/>
            <w:tcBorders>
              <w:top w:val="single" w:color="000000" w:sz="4" w:space="0"/>
              <w:left w:val="single" w:color="000000" w:sz="4" w:space="0"/>
              <w:bottom w:val="single" w:color="000000" w:sz="4" w:space="0"/>
              <w:right w:val="single" w:color="000000" w:sz="4" w:space="0"/>
            </w:tcBorders>
            <w:vAlign w:val="center"/>
          </w:tcPr>
          <w:p w14:paraId="0FA3DB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800-1000</w:t>
            </w:r>
          </w:p>
        </w:tc>
        <w:tc>
          <w:tcPr>
            <w:tcW w:w="1537" w:type="dxa"/>
            <w:tcBorders>
              <w:top w:val="single" w:color="000000" w:sz="4" w:space="0"/>
              <w:left w:val="single" w:color="000000" w:sz="4" w:space="0"/>
              <w:bottom w:val="single" w:color="000000" w:sz="4" w:space="0"/>
              <w:right w:val="single" w:color="000000" w:sz="4" w:space="0"/>
            </w:tcBorders>
            <w:vAlign w:val="center"/>
          </w:tcPr>
          <w:p w14:paraId="1F507D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700-800</w:t>
            </w:r>
          </w:p>
        </w:tc>
        <w:tc>
          <w:tcPr>
            <w:tcW w:w="1556" w:type="dxa"/>
            <w:tcBorders>
              <w:top w:val="single" w:color="000000" w:sz="4" w:space="0"/>
              <w:left w:val="single" w:color="000000" w:sz="4" w:space="0"/>
              <w:bottom w:val="single" w:color="000000" w:sz="4" w:space="0"/>
              <w:right w:val="single" w:color="000000" w:sz="4" w:space="0"/>
            </w:tcBorders>
            <w:vAlign w:val="center"/>
          </w:tcPr>
          <w:p w14:paraId="0C5542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600-700</w:t>
            </w:r>
          </w:p>
        </w:tc>
        <w:tc>
          <w:tcPr>
            <w:tcW w:w="1511" w:type="dxa"/>
            <w:tcBorders>
              <w:top w:val="single" w:color="000000" w:sz="4" w:space="0"/>
              <w:left w:val="single" w:color="000000" w:sz="4" w:space="0"/>
              <w:bottom w:val="single" w:color="000000" w:sz="4" w:space="0"/>
              <w:right w:val="single" w:color="000000" w:sz="4" w:space="0"/>
            </w:tcBorders>
            <w:vAlign w:val="center"/>
          </w:tcPr>
          <w:p w14:paraId="79BB1B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500-600</w:t>
            </w:r>
          </w:p>
        </w:tc>
        <w:tc>
          <w:tcPr>
            <w:tcW w:w="1555" w:type="dxa"/>
            <w:tcBorders>
              <w:top w:val="single" w:color="000000" w:sz="4" w:space="0"/>
              <w:left w:val="single" w:color="000000" w:sz="4" w:space="0"/>
              <w:bottom w:val="single" w:color="000000" w:sz="4" w:space="0"/>
              <w:right w:val="single" w:color="000000" w:sz="4" w:space="0"/>
            </w:tcBorders>
            <w:vAlign w:val="center"/>
          </w:tcPr>
          <w:p w14:paraId="4778DD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200-400</w:t>
            </w:r>
          </w:p>
        </w:tc>
      </w:tr>
    </w:tbl>
    <w:p w14:paraId="77536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（四）构筑物价值补偿。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临时建筑物、构筑（附属）物及其他地上附着物（果树、苗木除外），以不重复补偿为原则，由具有相应资质的房地产价格评估机构，按照评估确定的重置价给予补偿。</w:t>
      </w:r>
    </w:p>
    <w:p w14:paraId="74DA47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附表：构筑物指导价：</w:t>
      </w:r>
    </w:p>
    <w:tbl>
      <w:tblPr>
        <w:tblStyle w:val="10"/>
        <w:tblW w:w="8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11"/>
        <w:gridCol w:w="2044"/>
        <w:gridCol w:w="1481"/>
        <w:gridCol w:w="1500"/>
        <w:gridCol w:w="1782"/>
      </w:tblGrid>
      <w:tr w14:paraId="12F4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11"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4914B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p>
        </w:tc>
        <w:tc>
          <w:tcPr>
            <w:tcW w:w="2044"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913A3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2.2米以下的建（构）筑物</w:t>
            </w:r>
          </w:p>
        </w:tc>
        <w:tc>
          <w:tcPr>
            <w:tcW w:w="1481"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04515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砖石围墙</w:t>
            </w:r>
          </w:p>
        </w:tc>
        <w:tc>
          <w:tcPr>
            <w:tcW w:w="1500"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E741A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木板棚</w:t>
            </w:r>
          </w:p>
        </w:tc>
        <w:tc>
          <w:tcPr>
            <w:tcW w:w="1782"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6F126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简易铁皮房</w:t>
            </w:r>
          </w:p>
        </w:tc>
      </w:tr>
      <w:tr w14:paraId="3F96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5" w:hRule="atLeast"/>
        </w:trPr>
        <w:tc>
          <w:tcPr>
            <w:tcW w:w="2111" w:type="dxa"/>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AFB8C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指导价</w:t>
            </w:r>
          </w:p>
          <w:p w14:paraId="3E3EEB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（元/平方米）</w:t>
            </w:r>
          </w:p>
        </w:tc>
        <w:tc>
          <w:tcPr>
            <w:tcW w:w="2044"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48E8E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00</w:t>
            </w:r>
          </w:p>
        </w:tc>
        <w:tc>
          <w:tcPr>
            <w:tcW w:w="1481"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422A5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00</w:t>
            </w:r>
          </w:p>
        </w:tc>
        <w:tc>
          <w:tcPr>
            <w:tcW w:w="1500"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CFEBE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0</w:t>
            </w:r>
          </w:p>
        </w:tc>
        <w:tc>
          <w:tcPr>
            <w:tcW w:w="1782"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DE166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00</w:t>
            </w:r>
          </w:p>
        </w:tc>
      </w:tr>
    </w:tbl>
    <w:p w14:paraId="1C0094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注：蓄水池、水泥地面、石材地面、大型建（构）筑物等，根据现场实际测绘数量，按照评估确定的重置价给予补偿。</w:t>
      </w:r>
    </w:p>
    <w:p w14:paraId="24AA4A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bookmarkStart w:id="1" w:name="_Toc30553"/>
      <w:bookmarkStart w:id="2" w:name="_Toc16005"/>
      <w:r>
        <w:rPr>
          <w:rFonts w:hint="eastAsia" w:ascii="黑体" w:hAnsi="黑体" w:eastAsia="黑体" w:cs="黑体"/>
          <w:color w:val="000000" w:themeColor="text1"/>
          <w:sz w:val="32"/>
          <w:szCs w:val="32"/>
          <w:lang w:val="en-US" w:eastAsia="zh-CN"/>
          <w14:textFill>
            <w14:solidFill>
              <w14:schemeClr w14:val="tx1"/>
            </w14:solidFill>
          </w14:textFill>
        </w:rPr>
        <w:t>十三</w:t>
      </w:r>
      <w:r>
        <w:rPr>
          <w:rFonts w:hint="eastAsia" w:ascii="黑体" w:hAnsi="黑体" w:eastAsia="黑体" w:cs="黑体"/>
          <w:color w:val="000000" w:themeColor="text1"/>
          <w:sz w:val="32"/>
          <w:szCs w:val="32"/>
          <w14:textFill>
            <w14:solidFill>
              <w14:schemeClr w14:val="tx1"/>
            </w14:solidFill>
          </w14:textFill>
        </w:rPr>
        <w:t>、补偿方式</w:t>
      </w:r>
      <w:bookmarkEnd w:id="1"/>
    </w:p>
    <w:p w14:paraId="1BE53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实行货币补偿，按被征收房屋评估价值及其他相关补助款项支付给被征收人。</w:t>
      </w:r>
    </w:p>
    <w:p w14:paraId="3138E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lang w:eastAsia="zh-CN"/>
          <w14:textFill>
            <w14:solidFill>
              <w14:schemeClr w14:val="tx1"/>
            </w14:solidFill>
          </w14:textFill>
        </w:rPr>
        <w:t>、</w:t>
      </w:r>
      <w:bookmarkEnd w:id="2"/>
      <w:r>
        <w:rPr>
          <w:rFonts w:hint="eastAsia" w:ascii="黑体" w:hAnsi="黑体" w:eastAsia="黑体" w:cs="黑体"/>
          <w:color w:val="000000" w:themeColor="text1"/>
          <w:sz w:val="32"/>
          <w:szCs w:val="32"/>
          <w:lang w:eastAsia="zh-CN"/>
          <w14:textFill>
            <w14:solidFill>
              <w14:schemeClr w14:val="tx1"/>
            </w14:solidFill>
          </w14:textFill>
        </w:rPr>
        <w:t>临时安置与搬迁费补助</w:t>
      </w:r>
    </w:p>
    <w:p w14:paraId="5012E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临时安置费按每月每平方米20元一次性给予6个月的临时安置补助，每月不足1500元的按1500元计发。</w:t>
      </w:r>
    </w:p>
    <w:p w14:paraId="38155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设备迁移补助费。固定电话、有线电视、电表、水表等迁移补助费1500元/户（宗）。</w:t>
      </w:r>
    </w:p>
    <w:p w14:paraId="392DE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搬迁费按签订补偿安置协议每户（宗）给予一次性每平方米40元搬迁补偿，不足3000元者按3000元计发。</w:t>
      </w:r>
    </w:p>
    <w:p w14:paraId="2AA8D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五、停产停业补偿</w:t>
      </w:r>
    </w:p>
    <w:p w14:paraId="0F0692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3" w:name="_Toc198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因征收合法房屋造成被征收人停产停业损失的补偿，根据房屋被征收前的效益、停产停业期限等因素确定。其中，房屋被征收前的效益原则上以房屋征收决定作出前1年内实际月平均税后利润为准，不能提供纳税情况等证明或者无法核算税后利润的，按上年度本地区同行业平均税后利润额或者同类房屋市场租金计算，按6个月给予补偿。</w:t>
      </w:r>
    </w:p>
    <w:bookmarkEnd w:id="3"/>
    <w:p w14:paraId="7E1E5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lang w:eastAsia="zh-CN"/>
          <w14:textFill>
            <w14:solidFill>
              <w14:schemeClr w14:val="tx1"/>
            </w14:solidFill>
          </w14:textFill>
        </w:rPr>
        <w:t>、其他相关规定</w:t>
      </w:r>
    </w:p>
    <w:p w14:paraId="547233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房屋被依法征收的，其国有土地使用权同时收回。</w:t>
      </w:r>
    </w:p>
    <w:p w14:paraId="0AB295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有抵押权的被征收房屋，在征收期限内抵押人向抵押权人清偿债务，如抵押人不能清偿债务或不能与抵押权人重新达成抵押协议的，由抵押权人和抵押人依照法律法规的有关规定处理。</w:t>
      </w:r>
    </w:p>
    <w:p w14:paraId="45C380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被查封的房屋，由房屋征收部门按照法律法规的有关规定处理。</w:t>
      </w:r>
    </w:p>
    <w:p w14:paraId="54B2B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如被征收房屋存在租赁、典当及产权纠纷影响房屋征收补偿的，由当事人自行协定或依照法律法规的有关规定处理。</w:t>
      </w:r>
    </w:p>
    <w:p w14:paraId="5B20C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被征收房屋属没有合法有效证件、建设用地手续不完善的，且在汕府〔2015〕73号文即2015年9月24日发布后建设的，被认定为违法违规建筑的和超过批准期限的临时建筑，不予补偿。</w:t>
      </w:r>
    </w:p>
    <w:p w14:paraId="447970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、不当行为不给予补偿</w:t>
      </w:r>
    </w:p>
    <w:p w14:paraId="39C0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房屋征收范围确定后，不得在房屋征收范围内实施新建、扩建、改建，改变房屋和土地性质用途等增加补偿费用的行为；违反规定实施的，不予补偿并按相关规定给予处理。</w:t>
      </w:r>
    </w:p>
    <w:p w14:paraId="60626B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、解决争议方式</w:t>
      </w:r>
    </w:p>
    <w:p w14:paraId="5FE666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征收部门与被征收人在征收补偿方案确定后达不成补偿协议，或者被征收房屋所有权人不明确的，由房屋征收部门报请作出房屋征收决定的区人民政府，按照本征收补偿方案作出补偿决定，并在房屋征收范围内予以公告。</w:t>
      </w:r>
    </w:p>
    <w:p w14:paraId="70694B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人对补偿决定不服的，可以依法申请行政复议，也可以依法提起行政诉讼。被征收人在法定期限内不申请行政复议或者不提起行政诉讼，在补偿决定规定的期限内又不搬迁的，由区人民政府催告被征收人履行义务，催告书送达10日后当事人仍未履行义务的，依法向人民法院申请强制执行。</w:t>
      </w:r>
    </w:p>
    <w:p w14:paraId="185D2B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人签约后，在约定的时间内拒绝腾空交房的，由房屋征收部门催告被征收人履行义务，经催告后不履行的，房屋征收部门可以作出要求其履行补偿协议的书面决定，被征收人收到书面决定后在法定期限内未申请行政复议或者提起行政诉讼，且仍不履行的，由作出房屋征收决定的区人民政府依法申请人民法院强制执行。</w:t>
      </w:r>
    </w:p>
    <w:p w14:paraId="6E38D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被征收人或者房屋征收部门对评估结果有异议的，应当自收到评估报告之日起10日内，向房地产价格评估机构申请复核评估。</w:t>
      </w:r>
    </w:p>
    <w:p w14:paraId="0D6E7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、未尽事宜</w:t>
      </w:r>
    </w:p>
    <w:p w14:paraId="1E5AFB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未包含在上述所列的补偿项目的，按市、区有关文件精神执行。如需作为特殊个案处理的补偿项目，报区人民政府审批后再实施补偿。</w:t>
      </w:r>
    </w:p>
    <w:p w14:paraId="5BA1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本方案未尽事宜，按国家、省、市有关法律法规规章和规范性文件执行。</w:t>
      </w:r>
    </w:p>
    <w:p w14:paraId="4A37A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二十、解释权</w:t>
      </w:r>
    </w:p>
    <w:p w14:paraId="63019E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本补偿方案自印发之日起施行，解释权归汕尾市城区人民政府。</w:t>
      </w:r>
    </w:p>
    <w:sectPr>
      <w:footerReference r:id="rId3" w:type="default"/>
      <w:pgSz w:w="11906" w:h="16838"/>
      <w:pgMar w:top="2154"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CDF28C-7461-4178-8607-B4D2E2023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1301773F-91F8-4186-AA3B-B271B02AC39E}"/>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235C1C2A-F120-41F9-A58C-AA14CE39B963}"/>
  </w:font>
  <w:font w:name="楷体_GB2312">
    <w:panose1 w:val="02010609030101010101"/>
    <w:charset w:val="86"/>
    <w:family w:val="auto"/>
    <w:pitch w:val="default"/>
    <w:sig w:usb0="00000001" w:usb1="080E0000" w:usb2="00000000" w:usb3="00000000" w:csb0="00040000" w:csb1="00000000"/>
    <w:embedRegular r:id="rId4" w:fontKey="{F329E044-0CBE-42A7-B57C-2A01C1AE6A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CC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C4A2">
                          <w:pPr>
                            <w:pStyle w:val="7"/>
                            <w:rPr>
                              <w:rFonts w:hint="eastAsia" w:eastAsiaTheme="minorEastAsia"/>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FC4A2">
                    <w:pPr>
                      <w:pStyle w:val="7"/>
                      <w:rPr>
                        <w:rFonts w:hint="eastAsia" w:eastAsiaTheme="minorEastAsia"/>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272A"/>
    <w:rsid w:val="0327008C"/>
    <w:rsid w:val="08EE2828"/>
    <w:rsid w:val="0DBD0B39"/>
    <w:rsid w:val="12414287"/>
    <w:rsid w:val="13904FC3"/>
    <w:rsid w:val="13F30F85"/>
    <w:rsid w:val="1D383877"/>
    <w:rsid w:val="1DED6667"/>
    <w:rsid w:val="21062783"/>
    <w:rsid w:val="22BF31CF"/>
    <w:rsid w:val="23386ADD"/>
    <w:rsid w:val="259B16A7"/>
    <w:rsid w:val="27627DF3"/>
    <w:rsid w:val="327D450D"/>
    <w:rsid w:val="34F51AAC"/>
    <w:rsid w:val="3B1F01C2"/>
    <w:rsid w:val="3D0C0513"/>
    <w:rsid w:val="400E0E9A"/>
    <w:rsid w:val="43B06225"/>
    <w:rsid w:val="48095171"/>
    <w:rsid w:val="486050F8"/>
    <w:rsid w:val="4AD30008"/>
    <w:rsid w:val="4CA7245A"/>
    <w:rsid w:val="4D7879A2"/>
    <w:rsid w:val="4EF94AC3"/>
    <w:rsid w:val="536B713F"/>
    <w:rsid w:val="589C1285"/>
    <w:rsid w:val="5CE66952"/>
    <w:rsid w:val="5FC260AF"/>
    <w:rsid w:val="6F033055"/>
    <w:rsid w:val="713A123F"/>
    <w:rsid w:val="71576B20"/>
    <w:rsid w:val="73CD6A14"/>
    <w:rsid w:val="76D1100B"/>
    <w:rsid w:val="7BFA1CF7"/>
    <w:rsid w:val="A4EB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toa heading"/>
    <w:basedOn w:val="1"/>
    <w:next w:val="1"/>
    <w:qFormat/>
    <w:uiPriority w:val="0"/>
    <w:pPr>
      <w:spacing w:beforeLines="50"/>
      <w:jc w:val="center"/>
    </w:pPr>
    <w:rPr>
      <w:rFonts w:ascii="Arial" w:hAnsi="Arial" w:eastAsia="宋体"/>
      <w:sz w:val="28"/>
    </w:rPr>
  </w:style>
  <w:style w:type="paragraph" w:styleId="5">
    <w:name w:val="Body Text"/>
    <w:basedOn w:val="1"/>
    <w:qFormat/>
    <w:uiPriority w:val="1"/>
    <w:pPr>
      <w:ind w:left="386"/>
    </w:pPr>
    <w:rPr>
      <w:rFonts w:ascii="仿宋" w:hAnsi="仿宋" w:eastAsia="仿宋" w:cs="仿宋"/>
      <w:sz w:val="32"/>
      <w:szCs w:val="32"/>
      <w:lang w:val="zh-CN" w:eastAsia="zh-CN" w:bidi="zh-CN"/>
    </w:rPr>
  </w:style>
  <w:style w:type="paragraph" w:styleId="6">
    <w:name w:val="Body Text Indent 2"/>
    <w:basedOn w:val="1"/>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bCs/>
    </w:rPr>
  </w:style>
  <w:style w:type="character" w:customStyle="1" w:styleId="13">
    <w:name w:val="font01"/>
    <w:qFormat/>
    <w:uiPriority w:val="0"/>
    <w:rPr>
      <w:rFonts w:hint="default" w:ascii="Times New Roman" w:hAnsi="Times New Roman" w:cs="Times New Roman"/>
      <w:color w:val="000000"/>
      <w:sz w:val="24"/>
      <w:szCs w:val="24"/>
      <w:u w:val="none"/>
    </w:rPr>
  </w:style>
  <w:style w:type="character" w:customStyle="1" w:styleId="14">
    <w:name w:val="font71"/>
    <w:qFormat/>
    <w:uiPriority w:val="0"/>
    <w:rPr>
      <w:rFonts w:hint="eastAsia" w:ascii="宋体" w:hAnsi="宋体" w:eastAsia="宋体" w:cs="宋体"/>
      <w:color w:val="000000"/>
      <w:sz w:val="24"/>
      <w:szCs w:val="24"/>
      <w:u w:val="none"/>
    </w:rPr>
  </w:style>
  <w:style w:type="paragraph" w:customStyle="1" w:styleId="15">
    <w:name w:val="Body text|1"/>
    <w:basedOn w:val="1"/>
    <w:qFormat/>
    <w:uiPriority w:val="99"/>
    <w:pPr>
      <w:spacing w:line="391" w:lineRule="auto"/>
      <w:ind w:firstLine="400"/>
    </w:pPr>
    <w:rPr>
      <w:rFonts w:ascii="宋体" w:hAnsi="宋体" w:cs="宋体"/>
      <w:sz w:val="30"/>
      <w:szCs w:val="30"/>
      <w:lang w:val="zh-TW" w:eastAsia="zh-TW"/>
    </w:rPr>
  </w:style>
  <w:style w:type="paragraph" w:customStyle="1" w:styleId="16">
    <w:name w:val="Heading #3|1"/>
    <w:basedOn w:val="1"/>
    <w:qFormat/>
    <w:uiPriority w:val="99"/>
    <w:pPr>
      <w:spacing w:before="40" w:after="560"/>
      <w:jc w:val="center"/>
      <w:outlineLvl w:val="2"/>
    </w:pPr>
    <w:rPr>
      <w:rFonts w:ascii="宋体" w:hAnsi="宋体" w:cs="宋体"/>
      <w:sz w:val="36"/>
      <w:szCs w:val="36"/>
      <w:lang w:val="zh-TW" w:eastAsia="zh-TW"/>
    </w:rPr>
  </w:style>
  <w:style w:type="paragraph" w:customStyle="1" w:styleId="17">
    <w:name w:val="样式 黑体 四号 加粗"/>
    <w:basedOn w:val="1"/>
    <w:qFormat/>
    <w:uiPriority w:val="0"/>
    <w:pPr>
      <w:ind w:firstLine="1391" w:firstLineChars="495"/>
    </w:pPr>
    <w:rPr>
      <w:rFonts w:ascii="黑体" w:eastAsia="黑体" w:cs="宋体"/>
      <w:b/>
      <w:bCs/>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3859</Words>
  <Characters>3990</Characters>
  <Lines>0</Lines>
  <Paragraphs>0</Paragraphs>
  <TotalTime>9</TotalTime>
  <ScaleCrop>false</ScaleCrop>
  <LinksUpToDate>false</LinksUpToDate>
  <CharactersWithSpaces>4039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2021-11-18T16:56:00Z</dcterms:created>
  <dc:creator>老吴</dc:creator>
  <cp:lastModifiedBy>刘子瑄</cp:lastModifiedBy>
  <cp:lastPrinted>2025-12-09T01:09:00Z</cp:lastPrinted>
  <dcterms:modified xsi:type="dcterms:W3CDTF">2025-12-24T06:43:53Z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81B8D30FEC5A4A87B5300D9A54CBBCED_13</vt:lpwstr>
  </property>
  <property fmtid="{D5CDD505-2E9C-101B-9397-08002B2CF9AE}" pid="4" name="KSOTemplateDocerSaveRecord">
    <vt:lpwstr>eyJoZGlkIjoiMWQ0NjQ3YTZmZjMzMzFiMTg0MjM5YWVkNDlmMWUwZWQiLCJ1c2VySWQiOiIyMTczOTAyMDEifQ==</vt:lpwstr>
  </property>
</Properties>
</file>