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0B5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汕尾市城区2025年预算调整方案</w:t>
      </w:r>
    </w:p>
    <w:p w14:paraId="61979C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的报告</w:t>
      </w:r>
    </w:p>
    <w:p w14:paraId="1EFFEDC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rPr>
          <w:rFonts w:hint="default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汕尾市城区财政局　　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陈 全</w:t>
      </w:r>
    </w:p>
    <w:p w14:paraId="649C151E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28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p w14:paraId="32764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907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区人大常委会主任，各位副主任、委员：</w:t>
      </w:r>
    </w:p>
    <w:p w14:paraId="7D042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我受区政府委托，向区人大常委会报告我区202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预算调整方案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，请予审议。</w:t>
      </w:r>
    </w:p>
    <w:p w14:paraId="1F0F0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受汕尾市财政局新增下达地方政府债券转贷资金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及省以下财政体制改革实施后“四税收入”分享比例调整导致收支变动等影响，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证预算编制的规范性、完整性和准确性，根据《中华人民共和国预算法》，预算在执行中出现下列情况之一的，应当进行预算调整：“（一）需要增加或者减少预算总支出的；（二）需要调入预算稳定调节基金的；（三）需要调减预算安排的重点支出数额的；（四）需要增加举借债务数额的。”需相应调整一般公共预算和政府性基金预算，具体调整情况如下：</w:t>
      </w:r>
    </w:p>
    <w:p w14:paraId="10FC2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position w:val="6"/>
          <w:sz w:val="32"/>
          <w:szCs w:val="32"/>
        </w:rPr>
        <w:t>市财政下达202</w:t>
      </w:r>
      <w:r>
        <w:rPr>
          <w:rFonts w:hint="eastAsia" w:ascii="黑体" w:hAnsi="黑体" w:eastAsia="黑体" w:cs="黑体"/>
          <w:position w:val="6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position w:val="6"/>
          <w:sz w:val="32"/>
          <w:szCs w:val="32"/>
        </w:rPr>
        <w:t>年</w:t>
      </w:r>
      <w:r>
        <w:rPr>
          <w:rFonts w:hint="eastAsia" w:ascii="黑体" w:hAnsi="黑体" w:eastAsia="黑体" w:cs="黑体"/>
          <w:position w:val="6"/>
          <w:sz w:val="32"/>
          <w:szCs w:val="32"/>
          <w:lang w:eastAsia="zh-CN"/>
        </w:rPr>
        <w:t>新增债券资金</w:t>
      </w:r>
      <w:r>
        <w:rPr>
          <w:rFonts w:hint="eastAsia" w:ascii="黑体" w:hAnsi="黑体" w:eastAsia="黑体" w:cs="黑体"/>
          <w:position w:val="6"/>
          <w:sz w:val="32"/>
          <w:szCs w:val="32"/>
        </w:rPr>
        <w:t>情况</w:t>
      </w:r>
    </w:p>
    <w:p w14:paraId="50635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根据汕尾市财政局《关于下达2025年地方政府新增债务限额的通知》（汕财债〔2025〕41号）和《关于下达2025年6月地方政府新增债券转贷资金的通知》（汕财债〔2025〕43号）文件精神，提前批调整为68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200万元，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债券资金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000万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专项债券资金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200万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2025年6月新增下达城区45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000万元，其中：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债券资金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000万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专项债券资金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000万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75F403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省以下财政体制改革实施后一般公共预算收支情况</w:t>
      </w:r>
    </w:p>
    <w:p w14:paraId="1FE587D8"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根据省财政厅《关于省以下财政体制改革实施后有关预算管理问题的通知》省以下财政体制改革后，增值税、企业所得税、个人所得税地方级收入和土地增值税收入（不含省级固定收入）省与市县分享比例调整，经由测算后，对财政收支做出相应调整。</w:t>
      </w:r>
    </w:p>
    <w:p w14:paraId="37AB7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三、一般公共预算收支调整情况</w:t>
      </w:r>
      <w:bookmarkStart w:id="0" w:name="_GoBack"/>
      <w:bookmarkEnd w:id="0"/>
    </w:p>
    <w:p w14:paraId="5156C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（一）一般公共预算收入调整情况</w:t>
      </w:r>
    </w:p>
    <w:p w14:paraId="1357B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2025年一般公共预算收入年初预算数为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360,038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万元（其中本级收入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100,765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上级转移支付收入111,850万元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一般债券收入7,000万元、上年结转49,828万元、调入资金89,700元、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动用预算稳定调节基金859万元），计划调增34,104万元，调整后预算数394,142万元。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此次调整内容如下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 w14:paraId="55976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.债务转贷收入调增14,000万元，调整后预算数21,000万元，主要是根据汕尾市财政局《关于下达2025年地方政府新增债务限额的通知》（汕财债〔2025〕41号）和《关于下达2025年6月地方政府新增债券转贷资金的通知》（汕财债〔2025〕43号）文件，调增一般债务限额14,000万元。</w:t>
      </w:r>
    </w:p>
    <w:p w14:paraId="2C08206B">
      <w:pPr>
        <w:pStyle w:val="2"/>
        <w:rPr>
          <w:rFonts w:hint="default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 xml:space="preserve">   2.一般公共预算收入调增21,410万元，调整后预算数122,175万元，其中税收收入68,737万元，非税收入53,438万元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 w14:paraId="7BFA0D07">
      <w:pPr>
        <w:pStyle w:val="2"/>
        <w:ind w:firstLine="640" w:firstLineChars="200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3.调入资金收入调减1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306万元，调整后预算数88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394万元，主要是一般公共预算收入增加，对应减少调入资金收入。</w:t>
      </w:r>
    </w:p>
    <w:p w14:paraId="6E9DE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（二）一般公共预算支出调整情况</w:t>
      </w:r>
    </w:p>
    <w:p w14:paraId="627D9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年全区一般公共预算总支出年初预算数为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360,038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其中本级支出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246,433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结转支出49,828万元、上级提前下达转移支付53,870万元、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上解支出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9,907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计划调增34,104万元，调整后预算数394,142万元。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此次调整内容如下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 w14:paraId="7ABC3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2025年6月新增一般债券资金安排的支出，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是根据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汕财债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〔2025〕41号及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汕财债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〔2025〕43号文件精神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，调增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一般债券项目支出14,000万元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。</w:t>
      </w:r>
    </w:p>
    <w:p w14:paraId="73944EA7">
      <w:pPr>
        <w:pStyle w:val="2"/>
        <w:ind w:firstLine="64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2.上解支出调增20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104万元，调整后预算数30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011万元。</w:t>
      </w:r>
    </w:p>
    <w:p w14:paraId="77AE5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四、政府性基金预算调整情况</w:t>
      </w:r>
    </w:p>
    <w:p w14:paraId="05A94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（一）政府性基金预算收入调整情况</w:t>
      </w:r>
    </w:p>
    <w:p w14:paraId="56AA2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2025年政府性基金预算收入年初预算数为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192,115万元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本级彩票公益金收入380万元、本级国有土地出让权收入40,420万元，上级补助收入850万元、调入资金6,030万元、上年结转收入49,435万元，专项债收入95,000万元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），计划调减2,800万元，调整后预算数189,315万元。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此次调整内容如下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 w14:paraId="5034CEA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1.债务（转贷）收入调减2,800万元，主要是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汕财债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〔2025〕41号及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汕财债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〔2025〕43号文件精神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，调减提前批专项债券资金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800万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，新增2025年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专项债券资金31,000万元。</w:t>
      </w:r>
    </w:p>
    <w:p w14:paraId="28FC0F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（二）政府性基金预算支出调整情况</w:t>
      </w:r>
    </w:p>
    <w:p w14:paraId="20661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2024年政府性基金预算支出年初预算数为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192,115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万元（其中本级支出162,115万元、调出资金30,000万元），调减本级政府性基金支出2,800万元，调整后预算数189,315万元。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此次调整内容如下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 w14:paraId="5A2F3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1.调减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年专项债券安排的支出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，主要是根据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汕财债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〔2025〕41号及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汕财债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〔2025〕43号文件精神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，调减提前批专项债券支出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800万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，新增2025年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专项债券支出31,000万元。</w:t>
      </w:r>
    </w:p>
    <w:p w14:paraId="54E2A927">
      <w:pPr>
        <w:pStyle w:val="2"/>
        <w:rPr>
          <w:rFonts w:hint="eastAsia"/>
          <w:lang w:val="en-US" w:eastAsia="zh-CN"/>
        </w:rPr>
      </w:pPr>
    </w:p>
    <w:p w14:paraId="14696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E9DB4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E224C4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w w:val="9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w w:val="98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/>
          <w:w w:val="98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w w:val="98"/>
          <w:kern w:val="0"/>
          <w:sz w:val="32"/>
          <w:szCs w:val="32"/>
        </w:rPr>
        <w:t>汕尾市城区202</w:t>
      </w:r>
      <w:r>
        <w:rPr>
          <w:rFonts w:hint="eastAsia" w:ascii="仿宋_GB2312" w:hAnsi="仿宋_GB2312" w:eastAsia="仿宋_GB2312" w:cs="仿宋_GB2312"/>
          <w:b w:val="0"/>
          <w:bCs/>
          <w:w w:val="9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w w:val="98"/>
          <w:kern w:val="0"/>
          <w:sz w:val="32"/>
          <w:szCs w:val="32"/>
        </w:rPr>
        <w:t>年区级一般公共预算</w:t>
      </w:r>
      <w:r>
        <w:rPr>
          <w:rFonts w:hint="eastAsia" w:ascii="仿宋_GB2312" w:hAnsi="仿宋_GB2312" w:eastAsia="仿宋_GB2312" w:cs="仿宋_GB2312"/>
          <w:b w:val="0"/>
          <w:bCs/>
          <w:w w:val="98"/>
          <w:kern w:val="0"/>
          <w:sz w:val="32"/>
          <w:szCs w:val="32"/>
          <w:lang w:val="en-US" w:eastAsia="zh-CN"/>
        </w:rPr>
        <w:t>调整情况</w:t>
      </w:r>
    </w:p>
    <w:p w14:paraId="37174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500"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w w:val="98"/>
          <w:kern w:val="2"/>
          <w:sz w:val="32"/>
          <w:szCs w:val="32"/>
          <w:lang w:val="en-US" w:eastAsia="zh-CN" w:bidi="ar-SA"/>
        </w:rPr>
        <w:t>2.汕尾市城区2025年区级政府性基金预算调整情况</w:t>
      </w:r>
    </w:p>
    <w:p w14:paraId="55059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50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w w:val="9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8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Cs/>
          <w:w w:val="98"/>
          <w:kern w:val="2"/>
          <w:sz w:val="32"/>
          <w:szCs w:val="32"/>
          <w:lang w:val="en-US" w:eastAsia="zh-CN" w:bidi="ar-SA"/>
        </w:rPr>
        <w:t>关于下达2025年地方政府新增债务限额的通知</w:t>
      </w:r>
      <w:r>
        <w:rPr>
          <w:rFonts w:hint="eastAsia" w:ascii="仿宋_GB2312" w:hAnsi="仿宋_GB2312" w:eastAsia="仿宋_GB2312" w:cs="仿宋_GB2312"/>
          <w:b w:val="0"/>
          <w:bCs/>
          <w:w w:val="98"/>
          <w:kern w:val="0"/>
          <w:sz w:val="32"/>
          <w:szCs w:val="32"/>
          <w:lang w:val="en-US" w:eastAsia="zh-CN"/>
        </w:rPr>
        <w:t>（汕财债〔2025〕41号）</w:t>
      </w:r>
    </w:p>
    <w:p w14:paraId="2C9F4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50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w w:val="9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8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Cs/>
          <w:w w:val="98"/>
          <w:kern w:val="2"/>
          <w:sz w:val="32"/>
          <w:szCs w:val="32"/>
          <w:lang w:val="en-US" w:eastAsia="zh-CN" w:bidi="ar-SA"/>
        </w:rPr>
        <w:t>关于下达2025年6月地方政府新增债券转贷资金的通知</w:t>
      </w:r>
      <w:r>
        <w:rPr>
          <w:rFonts w:hint="eastAsia" w:ascii="仿宋_GB2312" w:hAnsi="仿宋_GB2312" w:eastAsia="仿宋_GB2312" w:cs="仿宋_GB2312"/>
          <w:b w:val="0"/>
          <w:bCs/>
          <w:w w:val="98"/>
          <w:kern w:val="0"/>
          <w:sz w:val="32"/>
          <w:szCs w:val="32"/>
          <w:lang w:val="en-US" w:eastAsia="zh-CN"/>
        </w:rPr>
        <w:t>（汕财债〔2025〕43号）</w:t>
      </w:r>
    </w:p>
    <w:p w14:paraId="79898AC4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324ED">
    <w:pPr>
      <w:pStyle w:val="3"/>
      <w:rPr>
        <w:rFonts w:hint="default" w:eastAsia="仿宋"/>
        <w:b/>
        <w:bCs/>
        <w:color w:val="000000" w:themeColor="text1"/>
        <w:lang w:val="en-US" w:eastAsia="zh-CN"/>
        <w14:textFill>
          <w14:solidFill>
            <w14:schemeClr w14:val="tx1"/>
          </w14:solidFill>
        </w14:textFill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A620D">
                          <w:pPr>
                            <w:pStyle w:val="3"/>
                            <w:rPr>
                              <w:sz w:val="21"/>
                              <w:szCs w:val="40"/>
                            </w:rPr>
                          </w:pPr>
                          <w:r>
                            <w:rPr>
                              <w:sz w:val="21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40"/>
                            </w:rPr>
                            <w:t>1</w:t>
                          </w:r>
                          <w:r>
                            <w:rPr>
                              <w:sz w:val="21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7A620D">
                    <w:pPr>
                      <w:pStyle w:val="3"/>
                      <w:rPr>
                        <w:sz w:val="21"/>
                        <w:szCs w:val="40"/>
                      </w:rPr>
                    </w:pPr>
                    <w:r>
                      <w:rPr>
                        <w:sz w:val="21"/>
                        <w:szCs w:val="40"/>
                      </w:rPr>
                      <w:t xml:space="preserve">— </w:t>
                    </w:r>
                    <w:r>
                      <w:rPr>
                        <w:sz w:val="21"/>
                        <w:szCs w:val="40"/>
                      </w:rPr>
                      <w:fldChar w:fldCharType="begin"/>
                    </w:r>
                    <w:r>
                      <w:rPr>
                        <w:sz w:val="21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40"/>
                      </w:rPr>
                      <w:fldChar w:fldCharType="separate"/>
                    </w:r>
                    <w:r>
                      <w:rPr>
                        <w:sz w:val="21"/>
                        <w:szCs w:val="40"/>
                      </w:rPr>
                      <w:t>1</w:t>
                    </w:r>
                    <w:r>
                      <w:rPr>
                        <w:sz w:val="21"/>
                        <w:szCs w:val="40"/>
                      </w:rPr>
                      <w:fldChar w:fldCharType="end"/>
                    </w:r>
                    <w:r>
                      <w:rPr>
                        <w:sz w:val="21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CF4EE1"/>
    <w:multiLevelType w:val="singleLevel"/>
    <w:tmpl w:val="F2CF4E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MDIxYTE1ZTRmZjQzMmUwN2IyOWFjOGIyZTMzMzkifQ=="/>
  </w:docVars>
  <w:rsids>
    <w:rsidRoot w:val="1CF8308F"/>
    <w:rsid w:val="02964C80"/>
    <w:rsid w:val="039F7912"/>
    <w:rsid w:val="04665C72"/>
    <w:rsid w:val="0828350D"/>
    <w:rsid w:val="08390075"/>
    <w:rsid w:val="0ED54CB5"/>
    <w:rsid w:val="11196A9C"/>
    <w:rsid w:val="12522998"/>
    <w:rsid w:val="148D310D"/>
    <w:rsid w:val="15CE32E1"/>
    <w:rsid w:val="16E934DC"/>
    <w:rsid w:val="17EE1BC4"/>
    <w:rsid w:val="19AA1747"/>
    <w:rsid w:val="1CEB2ECE"/>
    <w:rsid w:val="1CF8308F"/>
    <w:rsid w:val="1D6079EC"/>
    <w:rsid w:val="1F975045"/>
    <w:rsid w:val="2128646C"/>
    <w:rsid w:val="22BC4E95"/>
    <w:rsid w:val="249B0056"/>
    <w:rsid w:val="260D5390"/>
    <w:rsid w:val="2A865052"/>
    <w:rsid w:val="2B64325F"/>
    <w:rsid w:val="2C815516"/>
    <w:rsid w:val="2D842D1E"/>
    <w:rsid w:val="2E337DE8"/>
    <w:rsid w:val="2F34284F"/>
    <w:rsid w:val="32863230"/>
    <w:rsid w:val="33E12552"/>
    <w:rsid w:val="33E57AAC"/>
    <w:rsid w:val="340059BE"/>
    <w:rsid w:val="35967DC3"/>
    <w:rsid w:val="37242B85"/>
    <w:rsid w:val="37FC1918"/>
    <w:rsid w:val="382265B2"/>
    <w:rsid w:val="385D7E3B"/>
    <w:rsid w:val="38CE6B57"/>
    <w:rsid w:val="39225A40"/>
    <w:rsid w:val="397F1478"/>
    <w:rsid w:val="3A571F11"/>
    <w:rsid w:val="3C65270D"/>
    <w:rsid w:val="3D6919E1"/>
    <w:rsid w:val="3EB16B5C"/>
    <w:rsid w:val="3F403A9C"/>
    <w:rsid w:val="46A1349D"/>
    <w:rsid w:val="47381DAC"/>
    <w:rsid w:val="483C5C7D"/>
    <w:rsid w:val="493F07A4"/>
    <w:rsid w:val="4AA5064D"/>
    <w:rsid w:val="4D532C0C"/>
    <w:rsid w:val="4DD123D4"/>
    <w:rsid w:val="4EDF703A"/>
    <w:rsid w:val="4F2B31EF"/>
    <w:rsid w:val="51CD5B7D"/>
    <w:rsid w:val="52B42ED9"/>
    <w:rsid w:val="52E8610E"/>
    <w:rsid w:val="52F2377C"/>
    <w:rsid w:val="55223EA0"/>
    <w:rsid w:val="559A0529"/>
    <w:rsid w:val="57FC2049"/>
    <w:rsid w:val="59A80657"/>
    <w:rsid w:val="5A9B225D"/>
    <w:rsid w:val="5C400384"/>
    <w:rsid w:val="5D430B4E"/>
    <w:rsid w:val="5DDB334A"/>
    <w:rsid w:val="5ED6437F"/>
    <w:rsid w:val="606821DD"/>
    <w:rsid w:val="63211772"/>
    <w:rsid w:val="633C3005"/>
    <w:rsid w:val="635D0C49"/>
    <w:rsid w:val="638E7A78"/>
    <w:rsid w:val="651C04A4"/>
    <w:rsid w:val="654A6F2B"/>
    <w:rsid w:val="672F004E"/>
    <w:rsid w:val="681B0F8E"/>
    <w:rsid w:val="6A851B84"/>
    <w:rsid w:val="6D8E761E"/>
    <w:rsid w:val="6FA96AD0"/>
    <w:rsid w:val="732322FD"/>
    <w:rsid w:val="74BC3324"/>
    <w:rsid w:val="74E15349"/>
    <w:rsid w:val="75533A2B"/>
    <w:rsid w:val="775A7AEC"/>
    <w:rsid w:val="78933A81"/>
    <w:rsid w:val="78B47B29"/>
    <w:rsid w:val="798F02C3"/>
    <w:rsid w:val="7A7B6FB1"/>
    <w:rsid w:val="7B7D1B9C"/>
    <w:rsid w:val="7B9E54F1"/>
    <w:rsid w:val="7C547912"/>
    <w:rsid w:val="7CB45E5E"/>
    <w:rsid w:val="7F6B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cs="仿宋" w:asciiTheme="minorAscii" w:hAnsiTheme="minorAscii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textAlignment w:val="baseline"/>
    </w:pPr>
    <w:rPr>
      <w:rFonts w:ascii="宋体" w:hAnsi="宋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1739</Words>
  <Characters>2133</Characters>
  <Lines>0</Lines>
  <Paragraphs>0</Paragraphs>
  <TotalTime>20</TotalTime>
  <ScaleCrop>false</ScaleCrop>
  <LinksUpToDate>false</LinksUpToDate>
  <CharactersWithSpaces>2140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2024-06-05T06:46:00Z</dcterms:created>
  <dc:creator>Elen</dc:creator>
  <cp:lastModifiedBy>chen</cp:lastModifiedBy>
  <cp:lastPrinted>2025-10-09T07:39:13Z</cp:lastPrinted>
  <dcterms:modified xsi:type="dcterms:W3CDTF">2025-10-09T08:24:11Z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7B9C5E8A931948B6AE1B1F72BA8A1E48_13</vt:lpwstr>
  </property>
  <property fmtid="{D5CDD505-2E9C-101B-9397-08002B2CF9AE}" pid="4" name="KSOTemplateDocerSaveRecord">
    <vt:lpwstr>eyJoZGlkIjoiZTg3M2FiYzQ3M2RkNDgwNzRjNWI1YjQ5N2ExODM0ZGEiLCJ1c2VySWQiOiI2Njk1OTIwMTcifQ==</vt:lpwstr>
  </property>
</Properties>
</file>