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napToGrid/>
        <w:spacing w:line="600" w:lineRule="exact"/>
        <w:jc w:val="both"/>
        <w:outlineLvl w:val="0"/>
        <w:rPr>
          <w:rFonts w:hint="eastAsia" w:ascii="楷体" w:hAnsi="楷体" w:eastAsia="楷体" w:cs="楷体"/>
          <w:sz w:val="32"/>
          <w:szCs w:val="32"/>
        </w:rPr>
      </w:pPr>
      <w:bookmarkStart w:id="0" w:name="_Toc28049"/>
      <w:r>
        <w:rPr>
          <w:rFonts w:hint="eastAsia" w:ascii="楷体" w:hAnsi="楷体" w:eastAsia="楷体" w:cs="楷体"/>
          <w:sz w:val="32"/>
          <w:szCs w:val="32"/>
          <w:lang w:val="en-US" w:eastAsia="zh-CN"/>
        </w:rPr>
        <w:t>附件5</w:t>
      </w:r>
    </w:p>
    <w:p>
      <w:pPr>
        <w:keepNext w:val="0"/>
        <w:keepLines w:val="0"/>
        <w:pageBreakBefore w:val="0"/>
        <w:wordWrap/>
        <w:overflowPunct/>
        <w:topLinePunct w:val="0"/>
        <w:bidi w:val="0"/>
        <w:snapToGrid/>
        <w:spacing w:line="600" w:lineRule="exact"/>
        <w:jc w:val="center"/>
        <w:outlineLvl w:val="0"/>
        <w:rPr>
          <w:rFonts w:ascii="黑体" w:hAnsi="黑体" w:eastAsia="黑体" w:cs="黑体"/>
          <w:sz w:val="36"/>
          <w:szCs w:val="36"/>
        </w:rPr>
      </w:pPr>
    </w:p>
    <w:p>
      <w:pPr>
        <w:keepNext w:val="0"/>
        <w:keepLines w:val="0"/>
        <w:pageBreakBefore w:val="0"/>
        <w:wordWrap/>
        <w:overflowPunct/>
        <w:topLinePunct w:val="0"/>
        <w:bidi w:val="0"/>
        <w:snapToGrid/>
        <w:spacing w:line="600" w:lineRule="exact"/>
        <w:jc w:val="center"/>
        <w:outlineLvl w:val="0"/>
        <w:rPr>
          <w:rFonts w:ascii="黑体" w:hAnsi="黑体" w:eastAsia="黑体" w:cs="黑体"/>
          <w:color w:val="000000" w:themeColor="text1"/>
          <w:sz w:val="36"/>
          <w:szCs w:val="36"/>
          <w:shd w:val="clear" w:color="auto" w:fill="FFFFFF"/>
          <w14:textFill>
            <w14:solidFill>
              <w14:schemeClr w14:val="tx1"/>
            </w14:solidFill>
          </w14:textFill>
        </w:rPr>
      </w:pPr>
      <w:r>
        <w:rPr>
          <w:rFonts w:hint="eastAsia" w:ascii="黑体" w:hAnsi="黑体" w:eastAsia="黑体" w:cs="黑体"/>
          <w:sz w:val="44"/>
          <w:szCs w:val="44"/>
        </w:rPr>
        <w:t>汕尾市城区西北片马宫街道城镇老旧小区改造项目</w:t>
      </w:r>
      <w:r>
        <w:rPr>
          <w:rFonts w:hint="eastAsia" w:ascii="黑体" w:hAnsi="黑体" w:eastAsia="黑体" w:cs="黑体"/>
          <w:color w:val="000000" w:themeColor="text1"/>
          <w:sz w:val="44"/>
          <w:szCs w:val="44"/>
          <w:shd w:val="clear" w:color="auto" w:fill="FFFFFF"/>
          <w14:textFill>
            <w14:solidFill>
              <w14:schemeClr w14:val="tx1"/>
            </w14:solidFill>
          </w14:textFill>
        </w:rPr>
        <w:t>房屋与土地征收补偿方案</w:t>
      </w:r>
    </w:p>
    <w:p>
      <w:pPr>
        <w:keepNext w:val="0"/>
        <w:keepLines w:val="0"/>
        <w:pageBreakBefore w:val="0"/>
        <w:wordWrap/>
        <w:overflowPunct/>
        <w:topLinePunct w:val="0"/>
        <w:bidi w:val="0"/>
        <w:snapToGrid/>
        <w:spacing w:line="600" w:lineRule="exact"/>
        <w:jc w:val="center"/>
        <w:outlineLvl w:val="0"/>
        <w:rPr>
          <w:rFonts w:ascii="黑体" w:hAnsi="黑体" w:eastAsia="黑体" w:cs="黑体"/>
          <w:sz w:val="36"/>
          <w:szCs w:val="36"/>
        </w:rPr>
      </w:pP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仿宋_GB2312" w:hAnsi="仿宋_GB2312" w:eastAsia="仿宋_GB2312" w:cs="仿宋_GB2312"/>
          <w:sz w:val="32"/>
          <w:szCs w:val="32"/>
        </w:rPr>
      </w:pPr>
      <w:bookmarkStart w:id="1" w:name="_Toc21605"/>
      <w:bookmarkStart w:id="2" w:name="_Toc27720"/>
      <w:bookmarkStart w:id="3" w:name="_Toc481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为贯彻“补短板、惠民生”重点部署，加快推进汕尾市区西北片马宫街道城镇老旧小区改造</w:t>
      </w:r>
      <w:r>
        <w:rPr>
          <w:rFonts w:hint="eastAsia" w:ascii="仿宋_GB2312" w:hAnsi="仿宋_GB2312" w:eastAsia="仿宋_GB2312" w:cs="仿宋_GB2312"/>
          <w:sz w:val="32"/>
          <w:szCs w:val="32"/>
        </w:rPr>
        <w:t>。汕尾市城区人民政府对</w:t>
      </w:r>
      <w:r>
        <w:rPr>
          <w:rFonts w:hint="eastAsia" w:ascii="仿宋_GB2312" w:hAnsi="仿宋_GB2312" w:eastAsia="仿宋_GB2312" w:cs="仿宋_GB2312"/>
          <w:sz w:val="32"/>
          <w:szCs w:val="32"/>
          <w:lang w:val="en-US" w:eastAsia="zh-CN"/>
        </w:rPr>
        <w:t>位于马宫街道辖区内城区国财食品有限公司、城区马宫供销社、城区水产供销公司马宫分公司相关土地和房屋</w:t>
      </w:r>
      <w:r>
        <w:rPr>
          <w:rFonts w:hint="eastAsia" w:ascii="仿宋_GB2312" w:hAnsi="仿宋_GB2312" w:eastAsia="仿宋_GB2312" w:cs="仿宋_GB2312"/>
          <w:sz w:val="32"/>
          <w:szCs w:val="32"/>
        </w:rPr>
        <w:t>实施征收，为更好地贯彻执行房屋征收补偿政策，保障被征收房屋权利人的合法权益，依据国务院《国有土地上房屋征收与补偿条例》、《住房和城乡建设部关于印发&lt;国有土地上房屋征收评估办法&gt;的通知》等有关法律法规及规范性文件，结合本项目实际情况，制定本征收补偿方案。</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一、房屋征收目的</w:t>
      </w:r>
      <w:bookmarkEnd w:id="1"/>
    </w:p>
    <w:p>
      <w:pPr>
        <w:keepNext w:val="0"/>
        <w:keepLines w:val="0"/>
        <w:pageBreakBefore w:val="0"/>
        <w:widowControl w:val="0"/>
        <w:wordWrap/>
        <w:overflowPunct/>
        <w:topLinePunct w:val="0"/>
        <w:bidi w:val="0"/>
        <w:snapToGrid/>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shd w:val="clear" w:color="auto" w:fill="FFFFFF"/>
        </w:rPr>
        <w:t>汕尾市区西北片马宫街道城镇老旧小区改造</w:t>
      </w:r>
      <w:r>
        <w:rPr>
          <w:rFonts w:hint="eastAsia" w:ascii="仿宋_GB2312" w:hAnsi="仿宋_GB2312" w:eastAsia="仿宋_GB2312" w:cs="仿宋_GB2312"/>
          <w:sz w:val="32"/>
          <w:szCs w:val="32"/>
        </w:rPr>
        <w:t>需要，依照总体规划，对</w:t>
      </w:r>
      <w:bookmarkStart w:id="4" w:name="_Toc18539"/>
      <w:r>
        <w:rPr>
          <w:rFonts w:hint="eastAsia" w:ascii="仿宋_GB2312" w:hAnsi="仿宋" w:eastAsia="仿宋_GB2312"/>
          <w:sz w:val="32"/>
          <w:szCs w:val="32"/>
        </w:rPr>
        <w:t>汕尾市城区水产供销公司马宫分公司、汕尾市城区马宫供销社、汕尾市城区国财食品有限公司的相关</w:t>
      </w:r>
      <w:r>
        <w:rPr>
          <w:rFonts w:hint="eastAsia" w:ascii="仿宋_GB2312" w:hAnsi="仿宋" w:eastAsia="仿宋_GB2312"/>
          <w:sz w:val="32"/>
          <w:szCs w:val="32"/>
          <w:lang w:val="en-US" w:eastAsia="zh-CN"/>
        </w:rPr>
        <w:t>土地及</w:t>
      </w:r>
      <w:r>
        <w:rPr>
          <w:rFonts w:hint="eastAsia" w:ascii="仿宋_GB2312" w:hAnsi="仿宋" w:eastAsia="仿宋_GB2312"/>
          <w:sz w:val="32"/>
          <w:szCs w:val="32"/>
        </w:rPr>
        <w:t>房屋</w:t>
      </w:r>
      <w:r>
        <w:rPr>
          <w:rFonts w:hint="eastAsia" w:ascii="仿宋_GB2312" w:hAnsi="仿宋_GB2312" w:eastAsia="仿宋_GB2312" w:cs="仿宋_GB2312"/>
          <w:sz w:val="32"/>
          <w:szCs w:val="32"/>
        </w:rPr>
        <w:t>依法实施征收，符合公共利益。</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二、房屋征收补偿原则</w:t>
      </w:r>
      <w:bookmarkEnd w:id="4"/>
    </w:p>
    <w:p>
      <w:pPr>
        <w:keepNext w:val="0"/>
        <w:keepLines w:val="0"/>
        <w:pageBreakBefore w:val="0"/>
        <w:widowControl w:val="0"/>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房屋征收补偿遵循决策科学民主、程序正当合法、结果公平公开原则，对被征收人给予公平补偿。</w:t>
      </w:r>
    </w:p>
    <w:p>
      <w:pPr>
        <w:pStyle w:val="6"/>
        <w:keepNext w:val="0"/>
        <w:keepLines w:val="0"/>
        <w:pageBreakBefore w:val="0"/>
        <w:widowControl w:val="0"/>
        <w:wordWrap/>
        <w:overflowPunct/>
        <w:topLinePunct w:val="0"/>
        <w:bidi w:val="0"/>
        <w:snapToGrid/>
        <w:spacing w:before="0" w:beforeAutospacing="0" w:after="0" w:afterAutospacing="0" w:line="60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项目</w:t>
      </w:r>
      <w:r>
        <w:rPr>
          <w:rFonts w:hint="eastAsia" w:ascii="黑体" w:hAnsi="黑体" w:eastAsia="黑体" w:cs="黑体"/>
          <w:sz w:val="32"/>
          <w:szCs w:val="32"/>
        </w:rPr>
        <w:t>征收范围</w:t>
      </w:r>
      <w:bookmarkEnd w:id="2"/>
    </w:p>
    <w:p>
      <w:pPr>
        <w:keepNext w:val="0"/>
        <w:keepLines w:val="0"/>
        <w:pageBreakBefore w:val="0"/>
        <w:widowControl w:val="0"/>
        <w:wordWrap/>
        <w:overflowPunct/>
        <w:topLinePunct w:val="0"/>
        <w:bidi w:val="0"/>
        <w:snapToGrid/>
        <w:spacing w:line="600" w:lineRule="exact"/>
        <w:ind w:firstLine="640" w:firstLineChars="200"/>
        <w:rPr>
          <w:rFonts w:ascii="仿宋" w:hAnsi="仿宋" w:eastAsia="仿宋" w:cs="仿宋"/>
          <w:color w:val="000000" w:themeColor="text1"/>
          <w:sz w:val="32"/>
          <w:szCs w:val="32"/>
          <w:shd w:val="clear" w:color="auto" w:fill="FFFFFF"/>
          <w:lang w:eastAsia="zh-Hans"/>
          <w14:textFill>
            <w14:solidFill>
              <w14:schemeClr w14:val="tx1"/>
            </w14:solidFill>
          </w14:textFill>
        </w:rPr>
      </w:pPr>
      <w:r>
        <w:rPr>
          <w:rFonts w:hint="eastAsia" w:ascii="仿宋_GB2312" w:hAnsi="仿宋" w:eastAsia="仿宋_GB2312"/>
          <w:sz w:val="32"/>
          <w:szCs w:val="32"/>
        </w:rPr>
        <w:t>汕尾市城区水产供销公司马宫分公司、汕尾市城区马宫供销社、汕尾市城区国财食品有限公司的相关</w:t>
      </w:r>
      <w:r>
        <w:rPr>
          <w:rFonts w:hint="eastAsia" w:ascii="仿宋_GB2312" w:hAnsi="仿宋" w:eastAsia="仿宋_GB2312"/>
          <w:sz w:val="32"/>
          <w:szCs w:val="32"/>
          <w:lang w:val="en-US" w:eastAsia="zh-CN"/>
        </w:rPr>
        <w:t>土地及</w:t>
      </w:r>
      <w:r>
        <w:rPr>
          <w:rFonts w:hint="eastAsia" w:ascii="仿宋_GB2312" w:hAnsi="仿宋" w:eastAsia="仿宋_GB2312"/>
          <w:sz w:val="32"/>
          <w:szCs w:val="32"/>
        </w:rPr>
        <w:t>房屋，详见</w:t>
      </w:r>
      <w:r>
        <w:rPr>
          <w:rFonts w:hint="eastAsia" w:ascii="仿宋_GB2312" w:hAnsi="仿宋" w:eastAsia="仿宋_GB2312"/>
          <w:sz w:val="32"/>
          <w:szCs w:val="32"/>
          <w:lang w:val="en-US" w:eastAsia="zh-CN"/>
        </w:rPr>
        <w:t>征收范围图</w:t>
      </w:r>
      <w:r>
        <w:rPr>
          <w:rFonts w:hint="eastAsia" w:ascii="仿宋_GB2312" w:hAnsi="仿宋_GB2312" w:eastAsia="仿宋_GB2312" w:cs="仿宋_GB2312"/>
          <w:color w:val="000000" w:themeColor="text1"/>
          <w:sz w:val="32"/>
          <w:szCs w:val="32"/>
          <w:shd w:val="clear" w:color="auto" w:fill="FFFFFF"/>
          <w:lang w:eastAsia="zh-Hans"/>
          <w14:textFill>
            <w14:solidFill>
              <w14:schemeClr w14:val="tx1"/>
            </w14:solidFill>
          </w14:textFill>
        </w:rPr>
        <w:t>。</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四、征收单位</w:t>
      </w:r>
    </w:p>
    <w:p>
      <w:pPr>
        <w:pStyle w:val="6"/>
        <w:keepNext w:val="0"/>
        <w:keepLines w:val="0"/>
        <w:pageBreakBefore w:val="0"/>
        <w:widowControl w:val="0"/>
        <w:wordWrap/>
        <w:overflowPunct/>
        <w:topLinePunct w:val="0"/>
        <w:bidi w:val="0"/>
        <w:snapToGrid/>
        <w:spacing w:before="0" w:beforeAutospacing="0" w:after="0" w:afterAutospacing="0" w:line="60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征收主体：汕尾市城区人民政府。</w:t>
      </w:r>
    </w:p>
    <w:p>
      <w:pPr>
        <w:pStyle w:val="6"/>
        <w:keepNext w:val="0"/>
        <w:keepLines w:val="0"/>
        <w:pageBreakBefore w:val="0"/>
        <w:widowControl w:val="0"/>
        <w:wordWrap/>
        <w:overflowPunct/>
        <w:topLinePunct w:val="0"/>
        <w:bidi w:val="0"/>
        <w:snapToGrid/>
        <w:spacing w:before="0" w:beforeAutospacing="0" w:after="0" w:afterAutospacing="0" w:line="600" w:lineRule="exact"/>
        <w:ind w:firstLine="640" w:firstLineChars="200"/>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征收部门：</w:t>
      </w:r>
      <w:r>
        <w:rPr>
          <w:rFonts w:hint="eastAsia" w:ascii="仿宋_GB2312" w:hAnsi="仿宋" w:eastAsia="仿宋_GB2312"/>
          <w:sz w:val="32"/>
          <w:szCs w:val="32"/>
        </w:rPr>
        <w:t>汕尾市城区住房和城乡建设局。</w:t>
      </w:r>
    </w:p>
    <w:p>
      <w:pPr>
        <w:pStyle w:val="6"/>
        <w:keepNext w:val="0"/>
        <w:keepLines w:val="0"/>
        <w:pageBreakBefore w:val="0"/>
        <w:widowControl w:val="0"/>
        <w:wordWrap/>
        <w:overflowPunct/>
        <w:topLinePunct w:val="0"/>
        <w:bidi w:val="0"/>
        <w:snapToGrid/>
        <w:spacing w:before="0" w:beforeAutospacing="0" w:after="0" w:afterAutospacing="0" w:line="60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征收实施单位：汕尾市城区马宫街道办事处。</w:t>
      </w:r>
    </w:p>
    <w:p>
      <w:pPr>
        <w:pStyle w:val="6"/>
        <w:keepNext w:val="0"/>
        <w:keepLines w:val="0"/>
        <w:pageBreakBefore w:val="0"/>
        <w:widowControl w:val="0"/>
        <w:wordWrap/>
        <w:overflowPunct/>
        <w:topLinePunct w:val="0"/>
        <w:bidi w:val="0"/>
        <w:snapToGrid/>
        <w:spacing w:before="0" w:beforeAutospacing="0" w:after="0" w:afterAutospacing="0" w:line="60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房屋征收可以向从事房屋征收业务或具备相应工作经验的第三方机构采购房屋征收相关服务，所需工作经费由征收实施单位予以保障，并列入征收成本。</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五、被征收人</w:t>
      </w:r>
      <w:bookmarkEnd w:id="3"/>
    </w:p>
    <w:p>
      <w:pPr>
        <w:spacing w:line="54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bookmarkStart w:id="5" w:name="_Toc12399"/>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汕尾市城区西北片马宫街道城镇老旧小区改造项目征收房屋所有权人、政府授权的国有房屋管理人为被征收人。</w:t>
      </w:r>
    </w:p>
    <w:p>
      <w:pPr>
        <w:numPr>
          <w:ilvl w:val="0"/>
          <w:numId w:val="1"/>
        </w:numPr>
        <w:spacing w:line="5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启征日期</w:t>
      </w:r>
      <w:r>
        <w:rPr>
          <w:rFonts w:hint="eastAsia" w:ascii="黑体" w:hAnsi="黑体" w:eastAsia="黑体" w:cs="黑体"/>
          <w:sz w:val="32"/>
          <w:szCs w:val="32"/>
          <w:lang w:val="en-US" w:eastAsia="zh-CN"/>
        </w:rPr>
        <w:t xml:space="preserve"> </w:t>
      </w:r>
    </w:p>
    <w:p>
      <w:pPr>
        <w:numPr>
          <w:ilvl w:val="0"/>
          <w:numId w:val="0"/>
        </w:num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自房屋征收决定公告发布之日起。</w:t>
      </w:r>
    </w:p>
    <w:p>
      <w:pPr>
        <w:numPr>
          <w:ilvl w:val="0"/>
          <w:numId w:val="1"/>
        </w:numPr>
        <w:spacing w:line="54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征收补偿协议签约期限</w:t>
      </w:r>
      <w:r>
        <w:rPr>
          <w:rFonts w:hint="eastAsia" w:ascii="黑体" w:hAnsi="黑体" w:eastAsia="黑体" w:cs="黑体"/>
          <w:sz w:val="32"/>
          <w:szCs w:val="32"/>
          <w:lang w:val="en-US" w:eastAsia="zh-CN"/>
        </w:rPr>
        <w:t xml:space="preserve"> </w:t>
      </w:r>
    </w:p>
    <w:p>
      <w:pPr>
        <w:numPr>
          <w:ilvl w:val="0"/>
          <w:numId w:val="0"/>
        </w:numPr>
        <w:spacing w:line="54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sz w:val="32"/>
          <w:szCs w:val="32"/>
        </w:rPr>
        <w:t>房屋征收决定公告之日起60日内（含60日）。</w:t>
      </w:r>
    </w:p>
    <w:bookmarkEnd w:id="5"/>
    <w:p>
      <w:pPr>
        <w:keepNext w:val="0"/>
        <w:keepLines w:val="0"/>
        <w:pageBreakBefore w:val="0"/>
        <w:widowControl w:val="0"/>
        <w:numPr>
          <w:ilvl w:val="0"/>
          <w:numId w:val="1"/>
        </w:numPr>
        <w:wordWrap/>
        <w:overflowPunct/>
        <w:topLinePunct w:val="0"/>
        <w:bidi w:val="0"/>
        <w:snapToGrid/>
        <w:spacing w:line="600" w:lineRule="exact"/>
        <w:ind w:left="0" w:leftChars="0" w:firstLine="640" w:firstLineChars="200"/>
        <w:outlineLvl w:val="0"/>
        <w:rPr>
          <w:rFonts w:hint="eastAsia" w:ascii="黑体" w:hAnsi="黑体" w:eastAsia="黑体" w:cs="黑体"/>
          <w:sz w:val="32"/>
          <w:szCs w:val="32"/>
        </w:rPr>
      </w:pPr>
      <w:bookmarkStart w:id="6" w:name="_Toc8146"/>
      <w:r>
        <w:rPr>
          <w:rFonts w:hint="eastAsia" w:ascii="黑体" w:hAnsi="黑体" w:eastAsia="黑体" w:cs="黑体"/>
          <w:sz w:val="32"/>
          <w:szCs w:val="32"/>
        </w:rPr>
        <w:t>被征收房屋面积及用途核定</w:t>
      </w:r>
      <w:bookmarkEnd w:id="6"/>
      <w:r>
        <w:rPr>
          <w:rFonts w:hint="eastAsia" w:ascii="黑体" w:hAnsi="黑体" w:eastAsia="黑体" w:cs="黑体"/>
          <w:sz w:val="32"/>
          <w:szCs w:val="32"/>
        </w:rPr>
        <w:t xml:space="preserve"> </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（一）征收实施单位应当对房屋征收范围内房屋的权属、区位、用途、建筑面积等情况组织调查登记，被征收人应当予以配合。调查结果应当在房屋征收范围内向被征收人公布。</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（二）被征收人具有合法有效产权证书的，按合法有效产权证书记载的用途和面积为准。</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（三）未登记房屋产权证书的（但经认定属于违法违规建筑的除外），由具有测绘资质的第三方测绘机构与被征收人一同对现状房屋进行测量，面积及用途以征收实施单位核查认定为准。</w:t>
      </w:r>
    </w:p>
    <w:p>
      <w:pPr>
        <w:pStyle w:val="2"/>
        <w:widowControl w:val="0"/>
        <w:numPr>
          <w:ilvl w:val="0"/>
          <w:numId w:val="0"/>
        </w:numPr>
        <w:spacing w:line="360" w:lineRule="auto"/>
        <w:ind w:firstLine="640" w:firstLineChars="200"/>
        <w:jc w:val="both"/>
      </w:pPr>
      <w:r>
        <w:rPr>
          <w:rFonts w:hint="eastAsia" w:ascii="仿宋_GB2312" w:hAnsi="仿宋" w:eastAsia="仿宋_GB2312"/>
          <w:sz w:val="32"/>
          <w:szCs w:val="32"/>
        </w:rPr>
        <w:t>(四)根据有关法律法规及政策规定应予补偿的其他情形，以依据相关规定核定的面积及用途为准。</w:t>
      </w:r>
    </w:p>
    <w:p>
      <w:pPr>
        <w:keepNext w:val="0"/>
        <w:keepLines w:val="0"/>
        <w:pageBreakBefore w:val="0"/>
        <w:widowControl w:val="0"/>
        <w:wordWrap/>
        <w:overflowPunct/>
        <w:topLinePunct w:val="0"/>
        <w:bidi w:val="0"/>
        <w:snapToGrid/>
        <w:spacing w:line="600" w:lineRule="exact"/>
        <w:ind w:firstLine="640" w:firstLineChars="200"/>
        <w:outlineLvl w:val="0"/>
        <w:rPr>
          <w:rFonts w:hint="eastAsia" w:ascii="黑体" w:hAnsi="黑体" w:eastAsia="黑体" w:cs="黑体"/>
          <w:sz w:val="32"/>
          <w:szCs w:val="32"/>
        </w:rPr>
      </w:pPr>
      <w:bookmarkStart w:id="7" w:name="_Toc12519"/>
      <w:r>
        <w:rPr>
          <w:rFonts w:hint="eastAsia" w:ascii="黑体" w:hAnsi="黑体" w:eastAsia="黑体" w:cs="黑体"/>
          <w:sz w:val="32"/>
          <w:szCs w:val="32"/>
          <w:lang w:val="en-US" w:eastAsia="zh-CN"/>
        </w:rPr>
        <w:t>九</w:t>
      </w:r>
      <w:r>
        <w:rPr>
          <w:rFonts w:hint="eastAsia" w:ascii="黑体" w:hAnsi="黑体" w:eastAsia="黑体" w:cs="黑体"/>
          <w:sz w:val="32"/>
          <w:szCs w:val="32"/>
        </w:rPr>
        <w:t>、房屋价值评估办法</w:t>
      </w:r>
      <w:bookmarkEnd w:id="7"/>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房屋价值评估机构选择：由被征收人协商选定具有资质的房地产评估机构；协商不成的，由征收实施单位在网上中介超市随机挑选三家具有资质的房地产评估机构，并选定其中一家为本“征收”项目评估机构。</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被征收房屋的价值评估办法：依据《国有土地上房屋征收与补偿条例》（第590号令）及《国有土地上房屋征收评估办法》（建房〔2011〕77号）等相关规定，参考《汕尾市城区2018年城镇土地定级与基准地价更新成果》（汕府〔2019〕11号）、汕尾市城区近三年国有建设用地使用权公开挂牌出让价及征收公告之日的被征收房屋类似房地产市场交易价格，结合本补偿方案所制定的政策进行评估。</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lang w:eastAsia="zh-CN"/>
        </w:rPr>
        <w:t>）</w:t>
      </w:r>
      <w:r>
        <w:rPr>
          <w:rFonts w:hint="eastAsia" w:ascii="仿宋_GB2312" w:hAnsi="仿宋" w:eastAsia="仿宋_GB2312"/>
          <w:sz w:val="32"/>
          <w:szCs w:val="32"/>
        </w:rPr>
        <w:t>被征收房屋价值评估时点为房屋征收决定公告之日。</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（四）被征收范围内被征收人应配合估价机构工作人员进行,确保房屋评估价值结果公平、公正、合法有效。 </w:t>
      </w:r>
    </w:p>
    <w:p>
      <w:pPr>
        <w:spacing w:line="540" w:lineRule="exact"/>
        <w:ind w:firstLine="640" w:firstLineChars="200"/>
      </w:pPr>
      <w:r>
        <w:rPr>
          <w:rFonts w:hint="eastAsia" w:ascii="仿宋_GB2312" w:hAnsi="仿宋" w:eastAsia="仿宋_GB2312"/>
          <w:sz w:val="32"/>
          <w:szCs w:val="32"/>
        </w:rPr>
        <w:t>（五）被征收人不协助评估机构对被征收房屋进行实地查勘或提供不实情况和资料造成评估失实或其他后果的，被征收人应承担相应责任。</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sz w:val="32"/>
          <w:szCs w:val="32"/>
        </w:rPr>
      </w:pPr>
      <w:bookmarkStart w:id="8" w:name="_Toc30553"/>
      <w:r>
        <w:rPr>
          <w:rFonts w:hint="eastAsia" w:ascii="黑体" w:hAnsi="黑体" w:eastAsia="黑体" w:cs="黑体"/>
          <w:sz w:val="32"/>
          <w:szCs w:val="32"/>
          <w:lang w:val="en-US" w:eastAsia="zh-CN"/>
        </w:rPr>
        <w:t>十</w:t>
      </w:r>
      <w:r>
        <w:rPr>
          <w:rFonts w:hint="eastAsia" w:ascii="黑体" w:hAnsi="黑体" w:eastAsia="黑体" w:cs="黑体"/>
          <w:sz w:val="32"/>
          <w:szCs w:val="32"/>
        </w:rPr>
        <w:t>、房屋征收补偿方式</w:t>
      </w:r>
      <w:bookmarkEnd w:id="8"/>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对房屋被征收人实行货币补偿；货币补偿,按被征收房屋评估价值及其他相关补助款项支付给被征收人。</w:t>
      </w:r>
    </w:p>
    <w:p>
      <w:pPr>
        <w:keepNext w:val="0"/>
        <w:keepLines w:val="0"/>
        <w:pageBreakBefore w:val="0"/>
        <w:widowControl w:val="0"/>
        <w:wordWrap/>
        <w:overflowPunct/>
        <w:topLinePunct w:val="0"/>
        <w:bidi w:val="0"/>
        <w:snapToGrid/>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被征收人房屋出租给他人使用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买卖、抵押、查封、典当及其他产权纠纷等影响房屋征收补偿的</w:t>
      </w:r>
      <w:r>
        <w:rPr>
          <w:rFonts w:hint="eastAsia" w:ascii="仿宋_GB2312" w:hAnsi="仿宋_GB2312" w:eastAsia="仿宋_GB2312" w:cs="仿宋_GB2312"/>
          <w:color w:val="auto"/>
          <w:sz w:val="32"/>
          <w:szCs w:val="32"/>
        </w:rPr>
        <w:t>，由被征收人自行解决租赁关系。</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、被征收房屋补偿标准</w:t>
      </w:r>
    </w:p>
    <w:p>
      <w:pPr>
        <w:keepNext w:val="0"/>
        <w:keepLines w:val="0"/>
        <w:pageBreakBefore w:val="0"/>
        <w:widowControl w:val="0"/>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房屋价值（土地、建筑物、室内装修）</w:t>
      </w:r>
    </w:p>
    <w:p>
      <w:pPr>
        <w:keepNext w:val="0"/>
        <w:keepLines w:val="0"/>
        <w:pageBreakBefore w:val="0"/>
        <w:widowControl w:val="0"/>
        <w:wordWrap/>
        <w:overflowPunct/>
        <w:topLinePunct w:val="0"/>
        <w:bidi w:val="0"/>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由具有相应资质的房地产评估机构，根据被征收房屋区位、房屋面积、房屋用途、建筑结构、室内装修档次等，在房屋征收决定公告之日为评估价值时点，按照</w:t>
      </w:r>
      <w:r>
        <w:rPr>
          <w:rFonts w:hint="eastAsia" w:ascii="仿宋_GB2312" w:hAnsi="仿宋_GB2312" w:eastAsia="仿宋_GB2312" w:cs="仿宋_GB2312"/>
          <w:sz w:val="32"/>
          <w:szCs w:val="32"/>
          <w:lang w:val="en-US" w:eastAsia="zh-CN"/>
        </w:rPr>
        <w:t>不低于</w:t>
      </w:r>
      <w:r>
        <w:rPr>
          <w:rFonts w:hint="eastAsia" w:ascii="仿宋_GB2312" w:hAnsi="仿宋_GB2312" w:eastAsia="仿宋_GB2312" w:cs="仿宋_GB2312"/>
          <w:sz w:val="32"/>
          <w:szCs w:val="32"/>
        </w:rPr>
        <w:t>被征收房屋类似房地产市场价格，分别对土地价值、建筑物、室内装修进行房地产一体化评估，房屋价值评估报告作为被征收房屋补偿价值依据。</w:t>
      </w:r>
    </w:p>
    <w:p>
      <w:pPr>
        <w:keepNext w:val="0"/>
        <w:keepLines w:val="0"/>
        <w:pageBreakBefore w:val="0"/>
        <w:widowControl w:val="0"/>
        <w:wordWrap/>
        <w:overflowPunct/>
        <w:topLinePunct w:val="0"/>
        <w:bidi w:val="0"/>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、建筑物、室内装修、构筑物评估指导价</w:t>
      </w:r>
    </w:p>
    <w:p>
      <w:pPr>
        <w:keepNext w:val="0"/>
        <w:keepLines w:val="0"/>
        <w:pageBreakBefore w:val="0"/>
        <w:widowControl w:val="0"/>
        <w:wordWrap/>
        <w:overflowPunct/>
        <w:topLinePunct w:val="0"/>
        <w:bidi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(一)建筑物</w:t>
      </w:r>
    </w:p>
    <w:tbl>
      <w:tblPr>
        <w:tblStyle w:val="7"/>
        <w:tblpPr w:leftFromText="180" w:rightFromText="180" w:vertAnchor="text" w:horzAnchor="page" w:tblpX="1419" w:tblpY="277"/>
        <w:tblOverlap w:val="never"/>
        <w:tblW w:w="9577" w:type="dxa"/>
        <w:tblInd w:w="0" w:type="dxa"/>
        <w:tblLayout w:type="fixed"/>
        <w:tblCellMar>
          <w:top w:w="0" w:type="dxa"/>
          <w:left w:w="108" w:type="dxa"/>
          <w:bottom w:w="0" w:type="dxa"/>
          <w:right w:w="108" w:type="dxa"/>
        </w:tblCellMar>
      </w:tblPr>
      <w:tblGrid>
        <w:gridCol w:w="3354"/>
        <w:gridCol w:w="1467"/>
        <w:gridCol w:w="1567"/>
        <w:gridCol w:w="1511"/>
        <w:gridCol w:w="1678"/>
      </w:tblGrid>
      <w:tr>
        <w:tblPrEx>
          <w:tblCellMar>
            <w:top w:w="0" w:type="dxa"/>
            <w:left w:w="108" w:type="dxa"/>
            <w:bottom w:w="0" w:type="dxa"/>
            <w:right w:w="108" w:type="dxa"/>
          </w:tblCellMar>
        </w:tblPrEx>
        <w:trPr>
          <w:trHeight w:val="522" w:hRule="atLeast"/>
        </w:trPr>
        <w:tc>
          <w:tcPr>
            <w:tcW w:w="33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项目</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框架结构</w:t>
            </w:r>
          </w:p>
        </w:tc>
        <w:tc>
          <w:tcPr>
            <w:tcW w:w="1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混合结构</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砖木结构</w:t>
            </w:r>
          </w:p>
        </w:tc>
        <w:tc>
          <w:tcPr>
            <w:tcW w:w="1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简易结构</w:t>
            </w:r>
          </w:p>
        </w:tc>
      </w:tr>
      <w:tr>
        <w:tblPrEx>
          <w:tblCellMar>
            <w:top w:w="0" w:type="dxa"/>
            <w:left w:w="108" w:type="dxa"/>
            <w:bottom w:w="0" w:type="dxa"/>
            <w:right w:w="108" w:type="dxa"/>
          </w:tblCellMar>
        </w:tblPrEx>
        <w:trPr>
          <w:trHeight w:val="522" w:hRule="atLeast"/>
        </w:trPr>
        <w:tc>
          <w:tcPr>
            <w:tcW w:w="3354" w:type="dxa"/>
            <w:tcBorders>
              <w:top w:val="single" w:color="000000" w:sz="4" w:space="0"/>
              <w:left w:val="single" w:color="000000" w:sz="4" w:space="0"/>
              <w:bottom w:val="single" w:color="000000" w:sz="4" w:space="0"/>
              <w:right w:val="single" w:color="000000" w:sz="4" w:space="0"/>
            </w:tcBorders>
            <w:vAlign w:val="center"/>
          </w:tcPr>
          <w:p>
            <w:pPr>
              <w:pStyle w:val="3"/>
              <w:keepNext w:val="0"/>
              <w:keepLines w:val="0"/>
              <w:pageBreakBefore w:val="0"/>
              <w:widowControl w:val="0"/>
              <w:wordWrap/>
              <w:overflowPunct/>
              <w:topLinePunct w:val="0"/>
              <w:bidi w:val="0"/>
              <w:snapToGrid/>
              <w:spacing w:beforeLines="0" w:line="600" w:lineRule="exact"/>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评估标准（元/平方米）</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1800</w:t>
            </w:r>
          </w:p>
        </w:tc>
        <w:tc>
          <w:tcPr>
            <w:tcW w:w="15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1600</w:t>
            </w:r>
          </w:p>
        </w:tc>
        <w:tc>
          <w:tcPr>
            <w:tcW w:w="15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1400</w:t>
            </w:r>
          </w:p>
        </w:tc>
        <w:tc>
          <w:tcPr>
            <w:tcW w:w="16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600</w:t>
            </w:r>
          </w:p>
        </w:tc>
      </w:tr>
    </w:tbl>
    <w:p>
      <w:pPr>
        <w:pStyle w:val="3"/>
        <w:keepNext w:val="0"/>
        <w:keepLines w:val="0"/>
        <w:pageBreakBefore w:val="0"/>
        <w:widowControl w:val="0"/>
        <w:wordWrap/>
        <w:overflowPunct/>
        <w:topLinePunct w:val="0"/>
        <w:bidi w:val="0"/>
        <w:snapToGrid/>
        <w:spacing w:beforeLines="0" w:line="600" w:lineRule="exact"/>
        <w:ind w:firstLine="640" w:firstLineChars="200"/>
        <w:jc w:val="both"/>
        <w:rPr>
          <w:rFonts w:hint="eastAsia" w:ascii="仿宋_GB2312" w:hAnsi="仿宋_GB2312" w:eastAsia="仿宋_GB2312" w:cs="仿宋_GB2312"/>
          <w:sz w:val="32"/>
          <w:szCs w:val="32"/>
        </w:rPr>
      </w:pPr>
    </w:p>
    <w:p>
      <w:pPr>
        <w:pStyle w:val="3"/>
        <w:keepNext w:val="0"/>
        <w:keepLines w:val="0"/>
        <w:pageBreakBefore w:val="0"/>
        <w:widowControl w:val="0"/>
        <w:wordWrap/>
        <w:overflowPunct/>
        <w:topLinePunct w:val="0"/>
        <w:bidi w:val="0"/>
        <w:snapToGrid/>
        <w:spacing w:beforeLines="0" w:line="600" w:lineRule="exact"/>
        <w:ind w:firstLine="640" w:firstLineChars="200"/>
        <w:jc w:val="both"/>
        <w:rPr>
          <w:rFonts w:hint="eastAsia" w:ascii="仿宋_GB2312" w:hAnsi="仿宋_GB2312" w:eastAsia="仿宋_GB2312" w:cs="仿宋_GB2312"/>
          <w:sz w:val="32"/>
          <w:szCs w:val="32"/>
        </w:rPr>
      </w:pPr>
    </w:p>
    <w:p>
      <w:pPr>
        <w:pStyle w:val="3"/>
        <w:keepNext w:val="0"/>
        <w:keepLines w:val="0"/>
        <w:pageBreakBefore w:val="0"/>
        <w:widowControl w:val="0"/>
        <w:wordWrap/>
        <w:overflowPunct/>
        <w:topLinePunct w:val="0"/>
        <w:bidi w:val="0"/>
        <w:snapToGrid/>
        <w:spacing w:beforeLines="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(二)室内装修</w:t>
      </w:r>
    </w:p>
    <w:tbl>
      <w:tblPr>
        <w:tblStyle w:val="7"/>
        <w:tblpPr w:leftFromText="180" w:rightFromText="180" w:vertAnchor="text" w:horzAnchor="page" w:tblpX="1419" w:tblpY="1"/>
        <w:tblOverlap w:val="never"/>
        <w:tblW w:w="9600" w:type="dxa"/>
        <w:tblInd w:w="0" w:type="dxa"/>
        <w:tblLayout w:type="fixed"/>
        <w:tblCellMar>
          <w:top w:w="0" w:type="dxa"/>
          <w:left w:w="108" w:type="dxa"/>
          <w:bottom w:w="0" w:type="dxa"/>
          <w:right w:w="108" w:type="dxa"/>
        </w:tblCellMar>
      </w:tblPr>
      <w:tblGrid>
        <w:gridCol w:w="1700"/>
        <w:gridCol w:w="1648"/>
        <w:gridCol w:w="1470"/>
        <w:gridCol w:w="1562"/>
        <w:gridCol w:w="1512"/>
        <w:gridCol w:w="1708"/>
      </w:tblGrid>
      <w:tr>
        <w:tblPrEx>
          <w:tblCellMar>
            <w:top w:w="0" w:type="dxa"/>
            <w:left w:w="108" w:type="dxa"/>
            <w:bottom w:w="0" w:type="dxa"/>
            <w:right w:w="108" w:type="dxa"/>
          </w:tblCellMar>
        </w:tblPrEx>
        <w:trPr>
          <w:trHeight w:val="522" w:hRule="atLeast"/>
        </w:trPr>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项目</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一级装修</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二级装修</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三级装修</w:t>
            </w:r>
          </w:p>
        </w:tc>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四级装修</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五级装修</w:t>
            </w:r>
          </w:p>
        </w:tc>
      </w:tr>
      <w:tr>
        <w:tblPrEx>
          <w:tblCellMar>
            <w:top w:w="0" w:type="dxa"/>
            <w:left w:w="108" w:type="dxa"/>
            <w:bottom w:w="0" w:type="dxa"/>
            <w:right w:w="108" w:type="dxa"/>
          </w:tblCellMar>
        </w:tblPrEx>
        <w:trPr>
          <w:trHeight w:val="980" w:hRule="atLeast"/>
        </w:trPr>
        <w:tc>
          <w:tcPr>
            <w:tcW w:w="1700" w:type="dxa"/>
            <w:tcBorders>
              <w:top w:val="single" w:color="000000" w:sz="4" w:space="0"/>
              <w:left w:val="single" w:color="000000" w:sz="4" w:space="0"/>
              <w:bottom w:val="single" w:color="000000" w:sz="4" w:space="0"/>
              <w:right w:val="single" w:color="000000" w:sz="4" w:space="0"/>
            </w:tcBorders>
          </w:tcPr>
          <w:p>
            <w:pPr>
              <w:pStyle w:val="3"/>
              <w:keepNext w:val="0"/>
              <w:keepLines w:val="0"/>
              <w:pageBreakBefore w:val="0"/>
              <w:widowControl w:val="0"/>
              <w:wordWrap/>
              <w:overflowPunct/>
              <w:topLinePunct w:val="0"/>
              <w:bidi w:val="0"/>
              <w:snapToGrid/>
              <w:spacing w:beforeLines="0" w:line="600" w:lineRule="exac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评估标准（元/平方米）</w:t>
            </w:r>
          </w:p>
        </w:tc>
        <w:tc>
          <w:tcPr>
            <w:tcW w:w="16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w:t>
            </w:r>
          </w:p>
        </w:tc>
        <w:tc>
          <w:tcPr>
            <w:tcW w:w="1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600-700</w:t>
            </w:r>
          </w:p>
        </w:tc>
        <w:tc>
          <w:tcPr>
            <w:tcW w:w="1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500-600</w:t>
            </w:r>
          </w:p>
        </w:tc>
        <w:tc>
          <w:tcPr>
            <w:tcW w:w="1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200-400</w:t>
            </w:r>
          </w:p>
        </w:tc>
      </w:tr>
    </w:tbl>
    <w:p>
      <w:pPr>
        <w:keepNext w:val="0"/>
        <w:keepLines w:val="0"/>
        <w:pageBreakBefore w:val="0"/>
        <w:widowControl w:val="0"/>
        <w:wordWrap/>
        <w:overflowPunct/>
        <w:topLinePunct w:val="0"/>
        <w:bidi w:val="0"/>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(三)构筑物</w:t>
      </w:r>
    </w:p>
    <w:tbl>
      <w:tblPr>
        <w:tblStyle w:val="7"/>
        <w:tblpPr w:leftFromText="180" w:rightFromText="180" w:vertAnchor="text" w:horzAnchor="page" w:tblpX="1419" w:tblpY="1"/>
        <w:tblOverlap w:val="never"/>
        <w:tblW w:w="9588" w:type="dxa"/>
        <w:tblInd w:w="0" w:type="dxa"/>
        <w:tblLayout w:type="fixed"/>
        <w:tblCellMar>
          <w:top w:w="0" w:type="dxa"/>
          <w:left w:w="108" w:type="dxa"/>
          <w:bottom w:w="0" w:type="dxa"/>
          <w:right w:w="108" w:type="dxa"/>
        </w:tblCellMar>
      </w:tblPr>
      <w:tblGrid>
        <w:gridCol w:w="1737"/>
        <w:gridCol w:w="1687"/>
        <w:gridCol w:w="1503"/>
        <w:gridCol w:w="1427"/>
        <w:gridCol w:w="1579"/>
        <w:gridCol w:w="1655"/>
      </w:tblGrid>
      <w:tr>
        <w:tblPrEx>
          <w:tblCellMar>
            <w:top w:w="0" w:type="dxa"/>
            <w:left w:w="108" w:type="dxa"/>
            <w:bottom w:w="0" w:type="dxa"/>
            <w:right w:w="108" w:type="dxa"/>
          </w:tblCellMar>
        </w:tblPrEx>
        <w:trPr>
          <w:trHeight w:val="1216" w:hRule="atLeast"/>
        </w:trPr>
        <w:tc>
          <w:tcPr>
            <w:tcW w:w="1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项目</w:t>
            </w:r>
          </w:p>
        </w:tc>
        <w:tc>
          <w:tcPr>
            <w:tcW w:w="1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Style w:val="9"/>
                <w:rFonts w:hint="eastAsia" w:ascii="仿宋_GB2312" w:hAnsi="仿宋_GB2312" w:eastAsia="仿宋_GB2312" w:cs="仿宋_GB2312"/>
                <w:sz w:val="30"/>
                <w:szCs w:val="30"/>
                <w:lang w:bidi="ar"/>
              </w:rPr>
              <w:t>2.2</w:t>
            </w:r>
            <w:r>
              <w:rPr>
                <w:rStyle w:val="10"/>
                <w:rFonts w:hint="default" w:ascii="仿宋_GB2312" w:hAnsi="仿宋_GB2312" w:eastAsia="仿宋_GB2312" w:cs="仿宋_GB2312"/>
                <w:sz w:val="30"/>
                <w:szCs w:val="30"/>
                <w:lang w:bidi="ar"/>
              </w:rPr>
              <w:t>米以下的</w:t>
            </w:r>
            <w:r>
              <w:rPr>
                <w:rFonts w:hint="eastAsia" w:ascii="仿宋_GB2312" w:hAnsi="仿宋_GB2312" w:eastAsia="仿宋_GB2312" w:cs="仿宋_GB2312"/>
                <w:color w:val="000000"/>
                <w:kern w:val="0"/>
                <w:sz w:val="30"/>
                <w:szCs w:val="30"/>
                <w:lang w:bidi="ar"/>
              </w:rPr>
              <w:t>建（构）筑物</w:t>
            </w:r>
          </w:p>
        </w:tc>
        <w:tc>
          <w:tcPr>
            <w:tcW w:w="1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Style w:val="10"/>
                <w:rFonts w:hint="default" w:ascii="仿宋_GB2312" w:hAnsi="仿宋_GB2312" w:eastAsia="仿宋_GB2312" w:cs="仿宋_GB2312"/>
                <w:sz w:val="30"/>
                <w:szCs w:val="30"/>
                <w:lang w:bidi="ar"/>
              </w:rPr>
              <w:t>砖石围墙</w:t>
            </w:r>
          </w:p>
        </w:tc>
        <w:tc>
          <w:tcPr>
            <w:tcW w:w="14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木板棚</w:t>
            </w:r>
          </w:p>
        </w:tc>
        <w:tc>
          <w:tcPr>
            <w:tcW w:w="1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简易</w:t>
            </w:r>
          </w:p>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铁皮房</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spacing w:val="-5"/>
                <w:sz w:val="30"/>
                <w:szCs w:val="30"/>
              </w:rPr>
              <w:t>庭院门楼</w:t>
            </w:r>
          </w:p>
        </w:tc>
      </w:tr>
      <w:tr>
        <w:tblPrEx>
          <w:tblCellMar>
            <w:top w:w="0" w:type="dxa"/>
            <w:left w:w="108" w:type="dxa"/>
            <w:bottom w:w="0" w:type="dxa"/>
            <w:right w:w="108" w:type="dxa"/>
          </w:tblCellMar>
        </w:tblPrEx>
        <w:trPr>
          <w:trHeight w:val="531" w:hRule="atLeast"/>
        </w:trPr>
        <w:tc>
          <w:tcPr>
            <w:tcW w:w="17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评估标准（元/平方米）</w:t>
            </w:r>
          </w:p>
        </w:tc>
        <w:tc>
          <w:tcPr>
            <w:tcW w:w="16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400</w:t>
            </w:r>
          </w:p>
        </w:tc>
        <w:tc>
          <w:tcPr>
            <w:tcW w:w="15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200</w:t>
            </w:r>
          </w:p>
        </w:tc>
        <w:tc>
          <w:tcPr>
            <w:tcW w:w="14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150</w:t>
            </w:r>
          </w:p>
        </w:tc>
        <w:tc>
          <w:tcPr>
            <w:tcW w:w="1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300</w:t>
            </w:r>
          </w:p>
        </w:tc>
        <w:tc>
          <w:tcPr>
            <w:tcW w:w="1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wordWrap/>
              <w:overflowPunct/>
              <w:topLinePunct w:val="0"/>
              <w:bidi w:val="0"/>
              <w:adjustRightInd w:val="0"/>
              <w:snapToGrid/>
              <w:spacing w:line="600" w:lineRule="exact"/>
              <w:jc w:val="center"/>
              <w:textAlignment w:val="center"/>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5000</w:t>
            </w:r>
          </w:p>
        </w:tc>
      </w:tr>
    </w:tbl>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sz w:val="32"/>
          <w:szCs w:val="32"/>
        </w:rPr>
      </w:pPr>
      <w:bookmarkStart w:id="9" w:name="_Toc31563"/>
      <w:r>
        <w:rPr>
          <w:rFonts w:hint="eastAsia" w:ascii="黑体" w:hAnsi="黑体" w:eastAsia="黑体" w:cs="黑体"/>
          <w:sz w:val="32"/>
          <w:szCs w:val="32"/>
        </w:rPr>
        <w:t>十</w:t>
      </w:r>
      <w:r>
        <w:rPr>
          <w:rFonts w:hint="eastAsia" w:ascii="黑体" w:hAnsi="黑体" w:eastAsia="黑体" w:cs="黑体"/>
          <w:sz w:val="32"/>
          <w:szCs w:val="32"/>
          <w:lang w:val="en-US" w:eastAsia="zh-CN"/>
        </w:rPr>
        <w:t>三</w:t>
      </w:r>
      <w:r>
        <w:rPr>
          <w:rFonts w:hint="eastAsia" w:ascii="黑体" w:hAnsi="黑体" w:eastAsia="黑体" w:cs="黑体"/>
          <w:sz w:val="32"/>
          <w:szCs w:val="32"/>
        </w:rPr>
        <w:t>、搬迁费补偿</w:t>
      </w:r>
      <w:bookmarkEnd w:id="9"/>
    </w:p>
    <w:p>
      <w:pPr>
        <w:keepNext w:val="0"/>
        <w:keepLines w:val="0"/>
        <w:pageBreakBefore w:val="0"/>
        <w:widowControl w:val="0"/>
        <w:wordWrap/>
        <w:overflowPunct/>
        <w:topLinePunct w:val="0"/>
        <w:bidi w:val="0"/>
        <w:snapToGrid/>
        <w:spacing w:line="600" w:lineRule="exact"/>
        <w:ind w:firstLine="640" w:firstLineChars="200"/>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按签订补偿安置协议每宗给予一次性每平方米40元搬迁补偿，不足3000元者按3000元计发。</w:t>
      </w:r>
    </w:p>
    <w:p>
      <w:pPr>
        <w:keepNext w:val="0"/>
        <w:keepLines w:val="0"/>
        <w:pageBreakBefore w:val="0"/>
        <w:widowControl w:val="0"/>
        <w:kinsoku w:val="0"/>
        <w:wordWrap/>
        <w:overflowPunct/>
        <w:topLinePunct w:val="0"/>
        <w:autoSpaceDE w:val="0"/>
        <w:autoSpaceDN w:val="0"/>
        <w:bidi w:val="0"/>
        <w:adjustRightInd w:val="0"/>
        <w:snapToGrid/>
        <w:spacing w:line="600" w:lineRule="exact"/>
        <w:ind w:firstLine="640" w:firstLineChars="200"/>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w:t>
      </w:r>
      <w:bookmarkStart w:id="10" w:name="_Toc4092"/>
      <w:r>
        <w:rPr>
          <w:rFonts w:hint="eastAsia" w:ascii="黑体" w:hAnsi="黑体" w:eastAsia="黑体" w:cs="黑体"/>
          <w:color w:val="auto"/>
          <w:sz w:val="32"/>
          <w:szCs w:val="32"/>
          <w:lang w:val="en-US" w:eastAsia="zh-CN"/>
        </w:rPr>
        <w:t>解决争议方式</w:t>
      </w:r>
      <w:bookmarkEnd w:id="10"/>
    </w:p>
    <w:p>
      <w:pPr>
        <w:keepNext w:val="0"/>
        <w:keepLines w:val="0"/>
        <w:pageBreakBefore w:val="0"/>
        <w:widowControl w:val="0"/>
        <w:wordWrap/>
        <w:overflowPunct/>
        <w:topLinePunct w:val="0"/>
        <w:bidi w:val="0"/>
        <w:snapToGrid/>
        <w:spacing w:line="600" w:lineRule="exact"/>
        <w:ind w:firstLine="640" w:firstLineChars="200"/>
        <w:outlineLvl w:val="0"/>
        <w:rPr>
          <w:rFonts w:hint="eastAsia" w:ascii="仿宋_GB2312" w:hAnsi="仿宋_GB2312" w:eastAsia="仿宋_GB2312" w:cs="仿宋_GB2312"/>
          <w:color w:val="auto"/>
          <w:sz w:val="32"/>
          <w:szCs w:val="32"/>
          <w:lang w:eastAsia="zh-CN"/>
        </w:rPr>
      </w:pPr>
      <w:bookmarkStart w:id="11" w:name="_Toc13183"/>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）在征收期限内达不成补偿协议或被征收房屋所有权人不明确的，由征收实施单位报请汕尾市城区人民政府依法按照有关规定，作出征收补偿决定，并在房屋征收范围内公告。</w:t>
      </w:r>
    </w:p>
    <w:p>
      <w:pPr>
        <w:keepNext w:val="0"/>
        <w:keepLines w:val="0"/>
        <w:pageBreakBefore w:val="0"/>
        <w:widowControl w:val="0"/>
        <w:wordWrap/>
        <w:overflowPunct/>
        <w:topLinePunct w:val="0"/>
        <w:bidi w:val="0"/>
        <w:snapToGrid/>
        <w:spacing w:line="60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）行政救济方式：被征收人对本决定有异议的，可以在本决定公告之日起60日内依法向汕尾市人民政府申请行政复议，也可以在本决定公告之日起6个月内依法向有管辖权的法院提起行政诉讼。</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、未尽事宜</w:t>
      </w:r>
      <w:bookmarkEnd w:id="11"/>
      <w:bookmarkStart w:id="13" w:name="_GoBack"/>
      <w:bookmarkEnd w:id="13"/>
    </w:p>
    <w:p>
      <w:pPr>
        <w:keepNext w:val="0"/>
        <w:keepLines w:val="0"/>
        <w:pageBreakBefore w:val="0"/>
        <w:widowControl w:val="0"/>
        <w:wordWrap/>
        <w:overflowPunct/>
        <w:topLinePunct w:val="0"/>
        <w:bidi w:val="0"/>
        <w:snapToGrid/>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（一）未包含在上述所列的补偿项目的，按市、区有关文件精神执行。如需作为特殊个案处理的补偿项目，报区人民政府审批后再实施补偿。</w:t>
      </w:r>
    </w:p>
    <w:p>
      <w:pPr>
        <w:keepNext w:val="0"/>
        <w:keepLines w:val="0"/>
        <w:pageBreakBefore w:val="0"/>
        <w:widowControl w:val="0"/>
        <w:wordWrap/>
        <w:overflowPunct/>
        <w:topLinePunct w:val="0"/>
        <w:bidi w:val="0"/>
        <w:snapToGrid/>
        <w:spacing w:line="60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（二）本方案未尽事宜，按国家、省、市有关法律法规执行。</w:t>
      </w:r>
    </w:p>
    <w:p>
      <w:pPr>
        <w:keepNext w:val="0"/>
        <w:keepLines w:val="0"/>
        <w:pageBreakBefore w:val="0"/>
        <w:widowControl w:val="0"/>
        <w:wordWrap/>
        <w:overflowPunct/>
        <w:topLinePunct w:val="0"/>
        <w:bidi w:val="0"/>
        <w:snapToGrid/>
        <w:spacing w:line="600" w:lineRule="exact"/>
        <w:ind w:firstLine="640" w:firstLineChars="200"/>
        <w:outlineLvl w:val="0"/>
        <w:rPr>
          <w:rFonts w:ascii="黑体" w:hAnsi="黑体" w:eastAsia="黑体" w:cs="黑体"/>
          <w:color w:val="auto"/>
          <w:sz w:val="32"/>
          <w:szCs w:val="32"/>
        </w:rPr>
      </w:pPr>
      <w:bookmarkStart w:id="12" w:name="_Toc18008"/>
      <w:r>
        <w:rPr>
          <w:rFonts w:ascii="黑体" w:hAnsi="黑体" w:eastAsia="黑体" w:cs="黑体"/>
          <w:color w:val="auto"/>
          <w:sz w:val="32"/>
          <w:szCs w:val="32"/>
        </w:rPr>
        <w:t>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、解释权</w:t>
      </w:r>
      <w:bookmarkEnd w:id="12"/>
    </w:p>
    <w:p>
      <w:pPr>
        <w:keepNext w:val="0"/>
        <w:keepLines w:val="0"/>
        <w:pageBreakBefore w:val="0"/>
        <w:widowControl w:val="0"/>
        <w:wordWrap/>
        <w:overflowPunct/>
        <w:topLinePunct w:val="0"/>
        <w:bidi w:val="0"/>
        <w:snapToGrid/>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本补偿方案自印发之日施行，解释权由汕尾市城区人民政府委托</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汕尾市城区马宫街道办事处</w:t>
      </w:r>
      <w:r>
        <w:rPr>
          <w:rFonts w:hint="eastAsia" w:ascii="仿宋_GB2312" w:hAnsi="仿宋_GB2312" w:eastAsia="仿宋_GB2312" w:cs="仿宋_GB2312"/>
          <w:color w:val="000000" w:themeColor="text1"/>
          <w:sz w:val="32"/>
          <w:szCs w:val="32"/>
          <w14:textFill>
            <w14:solidFill>
              <w14:schemeClr w14:val="tx1"/>
            </w14:solidFill>
          </w14:textFill>
        </w:rPr>
        <w:t>负责解释。</w:t>
      </w:r>
    </w:p>
    <w:sectPr>
      <w:footerReference r:id="rId5" w:type="default"/>
      <w:pgSz w:w="11906" w:h="16838"/>
      <w:pgMar w:top="2098" w:right="1474" w:bottom="1984" w:left="1588" w:header="851" w:footer="992" w:gutter="0"/>
      <w:pgNumType w:fmt="numberInDash" w:start="2"/>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114300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- 1 -</w:t>
                          </w:r>
                          <w:r>
                            <w:rPr>
                              <w:rFonts w:hint="eastAsia" w:ascii="仿宋_GB2312" w:hAnsi="仿宋_GB2312" w:eastAsia="仿宋_GB2312" w:cs="仿宋_GB2312"/>
                              <w:sz w:val="28"/>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9pt;height:144pt;width:144pt;mso-position-horizontal-relative:margin;mso-wrap-style:none;z-index:251659264;mso-width-relative:page;mso-height-relative:page;" filled="f" stroked="f" coordsize="21600,21600" o:gfxdata="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gizZlnY6p3l&#10;EToq5u3qGCBgp2sUpVdi0ArT1nVmeBlxnP/cd1GPf4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bEMjvUAAAABwEAAA8AAAAAAAAAAQAgAAAAIgAAAGRycy9kb3ducmV2LnhtbFBLAQIUABQAAAAI&#10;AIdO4kCM1w58KgIAAFUEAAAOAAAAAAAAAAEAIAAAACMBAABkcnMvZTJvRG9jLnhtbFBLBQYAAAAA&#10;BgAGAFkBAA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- 1 -</w:t>
                    </w:r>
                    <w:r>
                      <w:rPr>
                        <w:rFonts w:hint="eastAsia" w:ascii="仿宋_GB2312" w:hAnsi="仿宋_GB2312" w:eastAsia="仿宋_GB2312" w:cs="仿宋_GB2312"/>
                        <w:sz w:val="28"/>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9894D"/>
    <w:multiLevelType w:val="singleLevel"/>
    <w:tmpl w:val="DD49894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OTVkOTEzZTQxZWIyZjQxMWZjNGMyOTNmMmEyMDUifQ=="/>
  </w:docVars>
  <w:rsids>
    <w:rsidRoot w:val="00EC1849"/>
    <w:rsid w:val="001C5F95"/>
    <w:rsid w:val="0050508D"/>
    <w:rsid w:val="00A670D8"/>
    <w:rsid w:val="00B646E6"/>
    <w:rsid w:val="00EC1849"/>
    <w:rsid w:val="00F25766"/>
    <w:rsid w:val="04DA6E86"/>
    <w:rsid w:val="061C57A8"/>
    <w:rsid w:val="069A5BDC"/>
    <w:rsid w:val="072E0056"/>
    <w:rsid w:val="0AF9689C"/>
    <w:rsid w:val="0EE75EFF"/>
    <w:rsid w:val="124D0394"/>
    <w:rsid w:val="12D74639"/>
    <w:rsid w:val="1C9433AA"/>
    <w:rsid w:val="2E073C7C"/>
    <w:rsid w:val="2EF267D4"/>
    <w:rsid w:val="318B1028"/>
    <w:rsid w:val="32424F7F"/>
    <w:rsid w:val="3A6C4E85"/>
    <w:rsid w:val="3AAB5F59"/>
    <w:rsid w:val="3C300CBF"/>
    <w:rsid w:val="3E9669E2"/>
    <w:rsid w:val="3F80435A"/>
    <w:rsid w:val="43343EE7"/>
    <w:rsid w:val="46744284"/>
    <w:rsid w:val="4DD97B58"/>
    <w:rsid w:val="530323B4"/>
    <w:rsid w:val="53BC0864"/>
    <w:rsid w:val="5B380692"/>
    <w:rsid w:val="5FD95DD7"/>
    <w:rsid w:val="6B6E5F92"/>
    <w:rsid w:val="70CC35D1"/>
    <w:rsid w:val="7D8C2327"/>
    <w:rsid w:val="7E0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toa heading"/>
    <w:basedOn w:val="1"/>
    <w:next w:val="1"/>
    <w:qFormat/>
    <w:uiPriority w:val="0"/>
    <w:pPr>
      <w:spacing w:beforeLines="50"/>
      <w:jc w:val="center"/>
    </w:pPr>
    <w:rPr>
      <w:rFonts w:ascii="Arial"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font01"/>
    <w:qFormat/>
    <w:uiPriority w:val="0"/>
    <w:rPr>
      <w:rFonts w:hint="default" w:ascii="Times New Roman" w:hAnsi="Times New Roman" w:cs="Times New Roman"/>
      <w:color w:val="000000"/>
      <w:sz w:val="24"/>
      <w:szCs w:val="24"/>
      <w:u w:val="none"/>
    </w:rPr>
  </w:style>
  <w:style w:type="character" w:customStyle="1" w:styleId="10">
    <w:name w:val="font7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2401</Words>
  <Characters>2465</Characters>
  <Lines>16</Lines>
  <Paragraphs>4</Paragraphs>
  <TotalTime>6</TotalTime>
  <ScaleCrop>false</ScaleCrop>
  <LinksUpToDate>false</LinksUpToDate>
  <CharactersWithSpaces>2469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2022-03-20T09:23:00Z</dcterms:created>
  <dc:creator>admin</dc:creator>
  <cp:lastModifiedBy>Administrator</cp:lastModifiedBy>
  <dcterms:modified xsi:type="dcterms:W3CDTF">2022-10-14T02:51:01Z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F10F79149F764587A8C50BFEE8F699F7</vt:lpwstr>
  </property>
</Properties>
</file>