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right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补偿标准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(一)建筑物</w:t>
      </w:r>
    </w:p>
    <w:tbl>
      <w:tblPr>
        <w:tblStyle w:val="4"/>
        <w:tblpPr w:leftFromText="180" w:rightFromText="180" w:vertAnchor="text" w:horzAnchor="page" w:tblpX="1419" w:tblpY="277"/>
        <w:tblOverlap w:val="never"/>
        <w:tblW w:w="9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467"/>
        <w:gridCol w:w="1567"/>
        <w:gridCol w:w="1511"/>
        <w:gridCol w:w="1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框架结构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混合结构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砖木结构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简易结构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line="54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评估标准（元/平方米）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1800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1600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1400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600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line="54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(二)室内装修</w:t>
      </w:r>
    </w:p>
    <w:tbl>
      <w:tblPr>
        <w:tblStyle w:val="4"/>
        <w:tblpPr w:leftFromText="180" w:rightFromText="180" w:vertAnchor="text" w:horzAnchor="page" w:tblpX="1419" w:tblpY="1"/>
        <w:tblOverlap w:val="never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648"/>
        <w:gridCol w:w="1470"/>
        <w:gridCol w:w="1562"/>
        <w:gridCol w:w="1512"/>
        <w:gridCol w:w="1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一级装修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二级装修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三级装修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四级装修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五级装修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6" w:line="54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评估标准（元/平方米）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—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—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600-700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500-600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200-400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(三)构筑物</w:t>
      </w:r>
    </w:p>
    <w:tbl>
      <w:tblPr>
        <w:tblStyle w:val="4"/>
        <w:tblpPr w:leftFromText="180" w:rightFromText="180" w:vertAnchor="text" w:horzAnchor="page" w:tblpX="1419" w:tblpY="1"/>
        <w:tblOverlap w:val="never"/>
        <w:tblW w:w="95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687"/>
        <w:gridCol w:w="1503"/>
        <w:gridCol w:w="1427"/>
        <w:gridCol w:w="1579"/>
        <w:gridCol w:w="1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sz w:val="32"/>
                <w:szCs w:val="32"/>
                <w:lang w:bidi="ar"/>
              </w:rPr>
              <w:t>2.2</w:t>
            </w:r>
            <w:r>
              <w:rPr>
                <w:rStyle w:val="7"/>
                <w:rFonts w:hint="eastAsia" w:ascii="仿宋" w:hAnsi="仿宋" w:eastAsia="仿宋" w:cs="仿宋"/>
                <w:sz w:val="32"/>
                <w:szCs w:val="32"/>
                <w:lang w:bidi="ar"/>
              </w:rPr>
              <w:t>米以下的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建（构）筑物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sz w:val="32"/>
                <w:szCs w:val="32"/>
                <w:lang w:bidi="ar"/>
              </w:rPr>
              <w:t>砖石围墙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木板棚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铁皮房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5"/>
                <w:sz w:val="32"/>
                <w:szCs w:val="32"/>
              </w:rPr>
              <w:t>庭院门楼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评估标准（元/平方米）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400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5000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right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被征收房屋补偿标准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房屋价值（土地、建筑物、室内装修）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具有相应资质的房地产评估机构，根据被征收房屋区位、房屋面积、房屋用途、建筑结构、室内装修档次等，在房屋征收决定公告之日为评估价值时点，按照被征收房屋类似房地产市场价格，分别对土地价值、建筑物、室内装修进行房地产一体化评估，房屋价值评估报告作为被征收房屋补偿价值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Toc31563"/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搬迁费补偿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按签订补偿安置协议每宗给予一次性每平方米40元搬迁补偿，不足3000元者按3000元计发。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06ED"/>
    <w:rsid w:val="66F5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toa heading"/>
    <w:basedOn w:val="1"/>
    <w:next w:val="1"/>
    <w:qFormat/>
    <w:uiPriority w:val="0"/>
    <w:pPr>
      <w:spacing w:beforeLines="50"/>
      <w:jc w:val="center"/>
    </w:pPr>
    <w:rPr>
      <w:rFonts w:ascii="Arial" w:hAnsi="Arial"/>
      <w:sz w:val="28"/>
    </w:rPr>
  </w:style>
  <w:style w:type="character" w:customStyle="1" w:styleId="6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2022-10-08T10:04:00Z</dcterms:created>
  <dc:creator>Administrator</dc:creator>
  <cp:lastModifiedBy>Administrator</cp:lastModifiedBy>
  <dcterms:modified xsi:type="dcterms:W3CDTF">2022-10-08T10:05:06Z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