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jc w:val="center"/>
        <w:rPr>
          <w:rFonts w:hint="eastAsia" w:ascii="方正小标宋简体" w:hAnsi="方正小标宋简体" w:eastAsia="方正小标宋简体" w:cs="方正小标宋简体"/>
          <w:b/>
          <w:bCs/>
          <w:sz w:val="36"/>
          <w:szCs w:val="36"/>
        </w:rPr>
      </w:pPr>
    </w:p>
    <w:p>
      <w:pPr>
        <w:ind w:left="803" w:hanging="803" w:hangingChars="200"/>
        <w:jc w:val="both"/>
        <w:rPr>
          <w:rFonts w:hint="eastAsia" w:ascii="方正小标宋简体" w:hAnsi="方正小标宋简体" w:eastAsia="方正小标宋简体" w:cs="方正小标宋简体"/>
          <w:b/>
          <w:bCs/>
          <w:sz w:val="40"/>
          <w:szCs w:val="40"/>
        </w:rPr>
      </w:pPr>
      <w:r>
        <w:rPr>
          <w:rFonts w:hint="eastAsia" w:ascii="方正小标宋简体" w:hAnsi="方正小标宋简体" w:eastAsia="方正小标宋简体" w:cs="方正小标宋简体"/>
          <w:b/>
          <w:bCs/>
          <w:sz w:val="40"/>
          <w:szCs w:val="40"/>
        </w:rPr>
        <w:t>关于</w:t>
      </w:r>
      <w:r>
        <w:rPr>
          <w:rFonts w:hint="eastAsia" w:ascii="方正小标宋简体" w:hAnsi="方正小标宋简体" w:eastAsia="方正小标宋简体" w:cs="方正小标宋简体"/>
          <w:b/>
          <w:bCs/>
          <w:sz w:val="40"/>
          <w:szCs w:val="40"/>
          <w:lang w:eastAsia="zh-CN"/>
        </w:rPr>
        <w:t>汕尾市城区2021年度第十二批次</w:t>
      </w:r>
      <w:r>
        <w:rPr>
          <w:rFonts w:hint="eastAsia" w:ascii="方正小标宋简体" w:hAnsi="方正小标宋简体" w:eastAsia="方正小标宋简体" w:cs="方正小标宋简体"/>
          <w:b/>
          <w:bCs/>
          <w:sz w:val="40"/>
          <w:szCs w:val="40"/>
        </w:rPr>
        <w:t>城镇建设用地征地项目被征地农民养老保障方案</w:t>
      </w:r>
    </w:p>
    <w:p>
      <w:pPr>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依照《中华人民共和国土地管理法》、《关于切实做好被征地农民社会保障工作有关问题的通知》(劳社部发〔20</w:t>
      </w:r>
      <w:r>
        <w:rPr>
          <w:rFonts w:hint="eastAsia" w:ascii="仿宋_GB2312" w:hAnsi="仿宋_GB2312" w:eastAsia="仿宋_GB2312" w:cs="仿宋_GB2312"/>
          <w:sz w:val="32"/>
          <w:szCs w:val="32"/>
          <w:lang w:val="en-US" w:eastAsia="zh-CN"/>
        </w:rPr>
        <w:t>07</w:t>
      </w:r>
      <w:r>
        <w:rPr>
          <w:rFonts w:hint="eastAsia" w:ascii="仿宋_GB2312" w:hAnsi="仿宋_GB2312" w:eastAsia="仿宋_GB2312" w:cs="仿宋_GB2312"/>
          <w:sz w:val="32"/>
          <w:szCs w:val="32"/>
        </w:rPr>
        <w:t>〕14号)、</w:t>
      </w:r>
      <w:r>
        <w:rPr>
          <w:rFonts w:hint="eastAsia" w:ascii="仿宋_GB2312" w:hAnsi="仿宋_GB2312" w:eastAsia="仿宋_GB2312" w:cs="仿宋_GB2312"/>
          <w:b w:val="0"/>
          <w:bCs w:val="0"/>
          <w:color w:val="auto"/>
          <w:sz w:val="32"/>
          <w:szCs w:val="32"/>
          <w:lang w:val="en-US" w:eastAsia="zh-CN"/>
        </w:rPr>
        <w:t>《广东省人民政府办</w:t>
      </w:r>
      <w:bookmarkStart w:id="0" w:name="_GoBack"/>
      <w:bookmarkEnd w:id="0"/>
      <w:r>
        <w:rPr>
          <w:rFonts w:hint="eastAsia" w:ascii="仿宋_GB2312" w:hAnsi="仿宋_GB2312" w:eastAsia="仿宋_GB2312" w:cs="仿宋_GB2312"/>
          <w:b w:val="0"/>
          <w:bCs w:val="0"/>
          <w:color w:val="auto"/>
          <w:sz w:val="32"/>
          <w:szCs w:val="32"/>
          <w:lang w:val="en-US" w:eastAsia="zh-CN"/>
        </w:rPr>
        <w:t>公厅转发省人力资源社会保障厅关于进一步完善我省被征地农民养老保障政策意见的通知》（粤府办〔2021〕22号）、</w:t>
      </w:r>
      <w:r>
        <w:rPr>
          <w:rFonts w:hint="eastAsia" w:ascii="Times New Roman" w:hAnsi="Times New Roman" w:eastAsia="仿宋_GB2312" w:cs="Times New Roman"/>
          <w:color w:val="auto"/>
          <w:kern w:val="2"/>
          <w:sz w:val="32"/>
          <w:szCs w:val="32"/>
          <w:shd w:val="clear" w:color="auto" w:fill="FFFFFF"/>
          <w:lang w:val="en-US" w:eastAsia="zh-CN" w:bidi="ar-SA"/>
        </w:rPr>
        <w:t>《汕尾市</w:t>
      </w:r>
      <w:r>
        <w:rPr>
          <w:rFonts w:hint="eastAsia" w:ascii="仿宋_GB2312" w:hAnsi="仿宋_GB2312" w:eastAsia="仿宋_GB2312" w:cs="仿宋_GB2312"/>
          <w:b w:val="0"/>
          <w:bCs w:val="0"/>
          <w:color w:val="auto"/>
          <w:sz w:val="32"/>
          <w:szCs w:val="32"/>
          <w:lang w:val="en-US" w:eastAsia="zh-CN"/>
        </w:rPr>
        <w:t>人民政府办公室关于贯彻落实广东省人民政府办公厅转发省人力资源社会保障厅关于进一步完善我省被征地农民养老保障政策意见的通知》（汕府办〔2021〕29号）、《关于贯彻落实〈汕尾市人民政府办公室关于贯彻落实广东省人民政府办公厅转发省人力资源社会保障厅关于进一步完善我省被征地农民养老保障政策意见的通知〉的通知》（汕市区府办〔2021〕13号）文件</w:t>
      </w:r>
      <w:r>
        <w:rPr>
          <w:rFonts w:hint="eastAsia" w:ascii="仿宋_GB2312" w:hAnsi="仿宋_GB2312" w:eastAsia="仿宋_GB2312" w:cs="仿宋_GB2312"/>
          <w:sz w:val="32"/>
          <w:szCs w:val="32"/>
        </w:rPr>
        <w:t>规定</w:t>
      </w:r>
      <w:r>
        <w:rPr>
          <w:rFonts w:hint="eastAsia" w:ascii="仿宋_GB2312" w:hAnsi="仿宋_GB2312" w:eastAsia="仿宋_GB2312" w:cs="仿宋_GB2312"/>
          <w:b w:val="0"/>
          <w:bCs w:val="0"/>
          <w:color w:val="auto"/>
          <w:sz w:val="32"/>
          <w:szCs w:val="32"/>
          <w:lang w:val="en-US" w:eastAsia="zh-CN"/>
        </w:rPr>
        <w:t>及区人民政府有关会议</w:t>
      </w:r>
      <w:r>
        <w:rPr>
          <w:rFonts w:hint="eastAsia" w:ascii="仿宋_GB2312" w:hAnsi="仿宋_GB2312" w:eastAsia="仿宋_GB2312" w:cs="仿宋_GB2312"/>
          <w:sz w:val="32"/>
          <w:szCs w:val="32"/>
        </w:rPr>
        <w:t>精神，拟定</w:t>
      </w:r>
      <w:r>
        <w:rPr>
          <w:rFonts w:hint="eastAsia" w:ascii="仿宋_GB2312" w:hAnsi="仿宋_GB2312" w:eastAsia="仿宋_GB2312" w:cs="仿宋_GB2312"/>
          <w:sz w:val="32"/>
          <w:szCs w:val="32"/>
          <w:lang w:eastAsia="zh-CN"/>
        </w:rPr>
        <w:t>汕尾市城区2021年度第十二批次</w:t>
      </w:r>
      <w:r>
        <w:rPr>
          <w:rFonts w:hint="eastAsia" w:ascii="仿宋_GB2312" w:hAnsi="仿宋_GB2312" w:eastAsia="仿宋_GB2312" w:cs="仿宋_GB2312"/>
          <w:sz w:val="32"/>
          <w:szCs w:val="32"/>
        </w:rPr>
        <w:t>城镇建设用地征地项目被征地农民养老保障方案如下</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汕尾市城区2021年度第十二批次</w:t>
      </w:r>
      <w:r>
        <w:rPr>
          <w:rFonts w:hint="eastAsia" w:ascii="仿宋_GB2312" w:hAnsi="仿宋_GB2312" w:eastAsia="仿宋_GB2312" w:cs="仿宋_GB2312"/>
          <w:sz w:val="32"/>
          <w:szCs w:val="32"/>
        </w:rPr>
        <w:t>城镇建设用地征地项目涉及的被征地农民实施社会养老保障。</w:t>
      </w:r>
    </w:p>
    <w:p>
      <w:pPr>
        <w:keepNext w:val="0"/>
        <w:keepLines w:val="0"/>
        <w:pageBreakBefore w:val="0"/>
        <w:widowControl w:val="0"/>
        <w:numPr>
          <w:ilvl w:val="0"/>
          <w:numId w:val="1"/>
        </w:numPr>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征地社保费补贴对象</w:t>
      </w:r>
      <w:r>
        <w:rPr>
          <w:rFonts w:hint="eastAsia" w:ascii="仿宋_GB2312" w:hAnsi="仿宋_GB2312" w:eastAsia="仿宋_GB2312" w:cs="仿宋_GB2312"/>
          <w:sz w:val="32"/>
          <w:szCs w:val="32"/>
          <w:lang w:eastAsia="zh-CN"/>
        </w:rPr>
        <w:t>：汕尾市城区2021年度第十二批次</w:t>
      </w:r>
      <w:r>
        <w:rPr>
          <w:rFonts w:hint="eastAsia" w:ascii="仿宋_GB2312" w:hAnsi="仿宋_GB2312" w:eastAsia="仿宋_GB2312" w:cs="仿宋_GB2312"/>
          <w:sz w:val="32"/>
          <w:szCs w:val="32"/>
        </w:rPr>
        <w:t>城镇建设用地征地项目</w:t>
      </w:r>
      <w:r>
        <w:rPr>
          <w:rFonts w:hint="eastAsia" w:ascii="仿宋_GB2312" w:hAnsi="仿宋_GB2312" w:eastAsia="仿宋_GB2312" w:cs="仿宋_GB2312"/>
          <w:sz w:val="32"/>
          <w:szCs w:val="32"/>
          <w:lang w:eastAsia="zh-CN"/>
        </w:rPr>
        <w:t>涉及应参加养老保险的被征地农民户数为</w:t>
      </w:r>
      <w:r>
        <w:rPr>
          <w:rFonts w:hint="eastAsia" w:ascii="仿宋_GB2312" w:hAnsi="仿宋_GB2312" w:eastAsia="仿宋_GB2312" w:cs="仿宋_GB2312"/>
          <w:sz w:val="32"/>
          <w:szCs w:val="32"/>
          <w:lang w:val="en-US" w:eastAsia="zh-CN"/>
        </w:rPr>
        <w:t>212</w:t>
      </w:r>
      <w:r>
        <w:rPr>
          <w:rFonts w:hint="eastAsia" w:ascii="仿宋_GB2312" w:hAnsi="仿宋_GB2312" w:eastAsia="仿宋_GB2312" w:cs="仿宋_GB2312"/>
          <w:sz w:val="32"/>
          <w:szCs w:val="32"/>
          <w:lang w:eastAsia="zh-CN"/>
        </w:rPr>
        <w:t>户</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三、征地社保费筹集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征地总面积为37.308亩，按我区平均每亩征收农用地综合区片地价33%的比例计提，需计提征地社保费用75.2241万元，计入征地成本，列入工程项目概算。</w:t>
      </w: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60" w:lineRule="exact"/>
        <w:ind w:firstLine="3200" w:firstLineChars="10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汕尾市城区人力资源和社会保障局</w:t>
      </w:r>
    </w:p>
    <w:p>
      <w:pPr>
        <w:keepNext w:val="0"/>
        <w:keepLines w:val="0"/>
        <w:pageBreakBefore w:val="0"/>
        <w:widowControl w:val="0"/>
        <w:kinsoku/>
        <w:wordWrap/>
        <w:overflowPunct/>
        <w:topLinePunct w:val="0"/>
        <w:autoSpaceDE/>
        <w:autoSpaceDN/>
        <w:bidi w:val="0"/>
        <w:adjustRightInd/>
        <w:snapToGrid/>
        <w:spacing w:line="660" w:lineRule="exact"/>
        <w:ind w:firstLine="4480"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951BB3"/>
    <w:multiLevelType w:val="singleLevel"/>
    <w:tmpl w:val="D8951BB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90BD5"/>
    <w:rsid w:val="06410BC7"/>
    <w:rsid w:val="1FC07B13"/>
    <w:rsid w:val="25AA0AED"/>
    <w:rsid w:val="32AB54C2"/>
    <w:rsid w:val="430311C5"/>
    <w:rsid w:val="53B90BD5"/>
    <w:rsid w:val="5478173E"/>
    <w:rsid w:val="59DF3EE5"/>
    <w:rsid w:val="5FC154CB"/>
    <w:rsid w:val="65AD1608"/>
    <w:rsid w:val="6DB57A86"/>
    <w:rsid w:val="7F821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2021-10-26T02:04:00Z</dcterms:created>
  <dc:creator>Administrator</dc:creator>
  <cp:lastModifiedBy>Administrator</cp:lastModifiedBy>
  <cp:lastPrinted>2022-02-22T03:13:39Z</cp:lastPrinted>
  <dcterms:modified xsi:type="dcterms:W3CDTF">2022-02-22T03:19:09Z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223FBB7D36A8418BB5FA4A83A4FF3384</vt:lpwstr>
  </property>
</Properties>
</file>