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overflowPunct/>
        <w:topLinePunct w:val="0"/>
        <w:bidi w:val="0"/>
        <w:snapToGrid/>
        <w:spacing w:line="520" w:lineRule="exact"/>
        <w:jc w:val="center"/>
        <w:textAlignment w:val="auto"/>
        <w:rPr>
          <w:rFonts w:hint="eastAsia" w:ascii="方正小标宋简体" w:hAnsi="方正小标宋简体" w:eastAsia="方正小标宋简体" w:cs="方正小标宋简体"/>
          <w:b w:val="0"/>
          <w:bCs w:val="0"/>
          <w:sz w:val="44"/>
          <w:szCs w:val="44"/>
          <w:highlight w:val="none"/>
          <w:lang w:val="en-US" w:eastAsia="zh-CN"/>
        </w:rPr>
      </w:pPr>
      <w:bookmarkStart w:id="0" w:name="_Toc15716"/>
      <w:bookmarkStart w:id="1" w:name="_Toc29109"/>
    </w:p>
    <w:p>
      <w:pPr>
        <w:pageBreakBefore w:val="0"/>
        <w:kinsoku/>
        <w:wordWrap/>
        <w:overflowPunct/>
        <w:topLinePunct w:val="0"/>
        <w:bidi w:val="0"/>
        <w:snapToGrid/>
        <w:spacing w:line="520" w:lineRule="exact"/>
        <w:jc w:val="center"/>
        <w:textAlignment w:val="auto"/>
        <w:rPr>
          <w:rFonts w:hint="eastAsia" w:ascii="方正小标宋简体" w:hAnsi="方正小标宋简体" w:eastAsia="方正小标宋简体" w:cs="方正小标宋简体"/>
          <w:b w:val="0"/>
          <w:bCs w:val="0"/>
          <w:sz w:val="44"/>
          <w:szCs w:val="44"/>
          <w:highlight w:val="none"/>
          <w:lang w:val="en-US" w:eastAsia="zh-CN"/>
        </w:rPr>
      </w:pPr>
      <w:r>
        <w:rPr>
          <w:rFonts w:hint="eastAsia" w:ascii="方正小标宋简体" w:hAnsi="方正小标宋简体" w:eastAsia="方正小标宋简体" w:cs="方正小标宋简体"/>
          <w:b w:val="0"/>
          <w:bCs w:val="0"/>
          <w:sz w:val="44"/>
          <w:szCs w:val="44"/>
          <w:highlight w:val="none"/>
          <w:lang w:val="en-US" w:eastAsia="zh-CN"/>
        </w:rPr>
        <w:t>汕尾市城区农村生活污水治理专项规划（2021-2025年）</w:t>
      </w:r>
    </w:p>
    <w:p>
      <w:pPr>
        <w:pStyle w:val="4"/>
        <w:keepNext/>
        <w:keepLines/>
        <w:pageBreakBefore w:val="0"/>
        <w:widowControl w:val="0"/>
        <w:kinsoku/>
        <w:wordWrap/>
        <w:overflowPunct/>
        <w:topLinePunct w:val="0"/>
        <w:autoSpaceDE/>
        <w:autoSpaceDN/>
        <w:bidi w:val="0"/>
        <w:adjustRightInd/>
        <w:snapToGrid/>
        <w:spacing w:before="0" w:after="0" w:line="520" w:lineRule="exact"/>
        <w:textAlignment w:val="auto"/>
        <w:rPr>
          <w:rFonts w:hint="eastAsia" w:ascii="仿宋_GB2312" w:hAnsi="仿宋_GB2312" w:eastAsia="仿宋_GB2312" w:cs="仿宋_GB2312"/>
          <w:sz w:val="32"/>
          <w:szCs w:val="32"/>
          <w:highlight w:val="none"/>
          <w:lang w:val="en-US" w:eastAsia="zh-CN"/>
        </w:rPr>
      </w:pPr>
    </w:p>
    <w:p>
      <w:pPr>
        <w:pStyle w:val="4"/>
        <w:keepNext/>
        <w:keepLines/>
        <w:pageBreakBefore w:val="0"/>
        <w:widowControl w:val="0"/>
        <w:kinsoku/>
        <w:wordWrap/>
        <w:overflowPunct/>
        <w:topLinePunct w:val="0"/>
        <w:autoSpaceDE/>
        <w:autoSpaceDN/>
        <w:bidi w:val="0"/>
        <w:adjustRightInd/>
        <w:snapToGrid/>
        <w:spacing w:before="0" w:after="0" w:line="520" w:lineRule="exact"/>
        <w:ind w:firstLine="640" w:firstLineChars="200"/>
        <w:textAlignment w:val="auto"/>
        <w:rPr>
          <w:rFonts w:hint="eastAsia" w:ascii="黑体" w:hAnsi="黑体" w:eastAsia="黑体" w:cs="黑体"/>
          <w:b w:val="0"/>
          <w:bCs w:val="0"/>
          <w:sz w:val="32"/>
          <w:szCs w:val="32"/>
          <w:highlight w:val="none"/>
          <w:lang w:val="en-US" w:eastAsia="zh-CN"/>
        </w:rPr>
      </w:pPr>
      <w:r>
        <w:rPr>
          <w:rFonts w:hint="eastAsia" w:ascii="黑体" w:hAnsi="黑体" w:eastAsia="黑体" w:cs="黑体"/>
          <w:b w:val="0"/>
          <w:bCs w:val="0"/>
          <w:sz w:val="32"/>
          <w:szCs w:val="32"/>
          <w:highlight w:val="none"/>
          <w:lang w:val="en-US" w:eastAsia="zh-CN"/>
        </w:rPr>
        <w:t>一、总则</w:t>
      </w:r>
      <w:bookmarkEnd w:id="0"/>
      <w:bookmarkEnd w:id="1"/>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2" w:name="_Toc23258"/>
      <w:bookmarkStart w:id="3" w:name="_Toc24377"/>
      <w:r>
        <w:rPr>
          <w:rFonts w:hint="eastAsia" w:ascii="楷体_GB2312" w:hAnsi="楷体_GB2312" w:eastAsia="楷体_GB2312" w:cs="楷体_GB2312"/>
          <w:b w:val="0"/>
          <w:bCs w:val="0"/>
          <w:sz w:val="32"/>
          <w:szCs w:val="32"/>
          <w:highlight w:val="none"/>
          <w:lang w:val="en-US" w:eastAsia="zh-CN"/>
        </w:rPr>
        <w:t>（一）目的意义</w:t>
      </w:r>
      <w:bookmarkEnd w:id="2"/>
      <w:bookmarkEnd w:id="3"/>
    </w:p>
    <w:p>
      <w:pPr>
        <w:pageBreakBefore w:val="0"/>
        <w:kinsoku/>
        <w:wordWrap/>
        <w:overflowPunct/>
        <w:topLinePunct w:val="0"/>
        <w:autoSpaceDE w:val="0"/>
        <w:autoSpaceDN w:val="0"/>
        <w:bidi w:val="0"/>
        <w:adjustRightInd w:val="0"/>
        <w:snapToGrid/>
        <w:spacing w:line="520" w:lineRule="exact"/>
        <w:ind w:firstLine="640" w:firstLineChars="200"/>
        <w:jc w:val="both"/>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习近平总书记在党的十九大报告中指出：</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农业农村农民问题是关系国计民生的根本性问题，必须始终把解决好</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三农</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问题作为全党工作重中之重。</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w:t>
      </w:r>
      <w:bookmarkStart w:id="4" w:name="OLE_LINK1"/>
      <w:r>
        <w:rPr>
          <w:rFonts w:hint="eastAsia" w:ascii="仿宋_GB2312" w:hAnsi="仿宋_GB2312" w:eastAsia="仿宋_GB2312" w:cs="仿宋_GB2312"/>
          <w:sz w:val="32"/>
          <w:szCs w:val="32"/>
          <w:highlight w:val="none"/>
        </w:rPr>
        <w:t>乡村振兴战略规划（2018-2022）</w:t>
      </w:r>
      <w:bookmarkEnd w:id="4"/>
      <w:r>
        <w:rPr>
          <w:rFonts w:hint="eastAsia" w:ascii="仿宋_GB2312" w:hAnsi="仿宋_GB2312" w:eastAsia="仿宋_GB2312" w:cs="仿宋_GB2312"/>
          <w:sz w:val="32"/>
          <w:szCs w:val="32"/>
          <w:highlight w:val="none"/>
        </w:rPr>
        <w:t>》明确指出，治理农业农村污染是实施乡村振兴战略的重要任务，要求梯次推进农村生活污水治理。2018年11月，生态环境部、农业农村部联合印发《农业农村污染治理攻坚战行动计划》，提出</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以县级行政区域为单位，实行农村生活污水处理统一规划、统一建设、统一管理</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2019年3月，生态环境部办公厅印发《关于进一步加强农业农村生态环境工作的指导意见》（环办土壤〔2019〕24号），明确要依照因地制宜、分类指导、经济适用、易于维护的原则，编制农村生活污水处理专项规划（方案），加强规划引领。2019年7月，中央农办等九部门联合印发《关于推进农村生活污水治理的指导意见》（中农发〔2019〕14号），将</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以县域为单位编制农村生活污水治理规划或方案</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列入重点任务。为落实国家关于农村生活污水治理的工作部署，2019年10月，省生态环境厅、农业农村厅、住房和城乡建设厅、水利厅联合印发《广东省农村生活污水治理攻坚实施方案（2019-2022）》，要求各县（市、区）编制农村生活污水治理</w:t>
      </w:r>
      <w:r>
        <w:rPr>
          <w:rFonts w:hint="eastAsia" w:ascii="仿宋_GB2312" w:hAnsi="仿宋_GB2312" w:eastAsia="仿宋_GB2312" w:cs="仿宋_GB2312"/>
          <w:sz w:val="32"/>
          <w:szCs w:val="32"/>
          <w:highlight w:val="none"/>
          <w:lang w:val="en-US" w:eastAsia="zh-CN"/>
        </w:rPr>
        <w:t>专项</w:t>
      </w:r>
      <w:r>
        <w:rPr>
          <w:rFonts w:hint="eastAsia" w:ascii="仿宋_GB2312" w:hAnsi="仿宋_GB2312" w:eastAsia="仿宋_GB2312" w:cs="仿宋_GB2312"/>
          <w:sz w:val="32"/>
          <w:szCs w:val="32"/>
          <w:highlight w:val="none"/>
        </w:rPr>
        <w:t>规划或方案。</w:t>
      </w:r>
    </w:p>
    <w:p>
      <w:pPr>
        <w:pageBreakBefore w:val="0"/>
        <w:kinsoku/>
        <w:wordWrap/>
        <w:overflowPunct/>
        <w:topLinePunct w:val="0"/>
        <w:autoSpaceDE w:val="0"/>
        <w:autoSpaceDN w:val="0"/>
        <w:bidi w:val="0"/>
        <w:adjustRightInd w:val="0"/>
        <w:snapToGrid/>
        <w:spacing w:line="52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按照省委、省政府关于实施“三农”领域突出短板“九大攻坚”行动的部署，2021年9月，《广东省人民政府办公厅关于深化我省农村生活污水治理攻坚行动方案的指导意见》（粤办函〔2021〕285号）明确要求各地市要组织编制农村生活污水治理攻坚行动方案，各县（市、区）同步编制县域农村生活污水治理专项规划。2021年11月，根据《汕尾市生态环境局关于加快农村生活污水治理攻坚行动有关工作的函》（汕环函〔2021〕184 号），要求各县（区、市）按照“一村一策”的要求，在开展全面调查摸清底数的基础上，因地制宜确定治理模式，根据村庄治理需求和环境敏感程度，确定治理时序。</w:t>
      </w:r>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近年来，汕尾市城区认真贯彻落实国家、省、市相关工作部署，积极推进农村生活污水治理工作，取得了显著性成果，158个自然村中112个自然村已完成农村生活污水治理，且设施的有效运行率达到了90%以上，但结合全面摸查发现，已开展治理的自然村中仍然存在部分自然村管网覆盖率偏低、存在错接漏接等问题，治理成效有待进一步提升。因此，为进一步提高“十四五”汕尾市城区农村生活污水治理成效，逐步实现村内农村生活污水应收尽收、设施高效稳定运行、不断提高村民满意率，汕尾市生态环境局城区分局特聘广东省环境科学研究院对我区农村生活污水治理工程全面摸排，并编制《汕尾市城区农村生活污水治理专项规划（2021-2025年）》。</w:t>
      </w:r>
    </w:p>
    <w:p>
      <w:pPr>
        <w:pStyle w:val="5"/>
        <w:keepNext/>
        <w:keepLines/>
        <w:pageBreakBefore w:val="0"/>
        <w:kinsoku/>
        <w:wordWrap/>
        <w:overflowPunct/>
        <w:topLinePunct w:val="0"/>
        <w:bidi w:val="0"/>
        <w:snapToGrid/>
        <w:spacing w:before="0" w:after="0" w:line="520" w:lineRule="exact"/>
        <w:ind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5" w:name="_Toc17866"/>
      <w:r>
        <w:rPr>
          <w:rFonts w:hint="eastAsia" w:ascii="楷体_GB2312" w:hAnsi="楷体_GB2312" w:eastAsia="楷体_GB2312" w:cs="楷体_GB2312"/>
          <w:b w:val="0"/>
          <w:bCs w:val="0"/>
          <w:sz w:val="32"/>
          <w:szCs w:val="32"/>
          <w:highlight w:val="none"/>
          <w:lang w:val="en-US" w:eastAsia="zh-CN"/>
        </w:rPr>
        <w:t>（二）指导思想</w:t>
      </w:r>
      <w:bookmarkEnd w:id="5"/>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以习近平新时代中国特色社会主义思想为指导，全面贯彻党的十九大及十九届二中、三中、四中、五中</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六中</w:t>
      </w:r>
      <w:r>
        <w:rPr>
          <w:rFonts w:hint="eastAsia" w:ascii="仿宋_GB2312" w:hAnsi="仿宋_GB2312" w:eastAsia="仿宋_GB2312" w:cs="仿宋_GB2312"/>
          <w:sz w:val="32"/>
          <w:szCs w:val="32"/>
          <w:highlight w:val="none"/>
        </w:rPr>
        <w:t>全会精神，紧扣省委、省政府</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三农</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领域</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九大攻坚</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行动，以改善农村人居环境为核心，以提高农村生活污水治理率、确保治理设施长效运转、提高村民满意率为目标</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建立健全我区</w:t>
      </w:r>
      <w:r>
        <w:rPr>
          <w:rFonts w:hint="eastAsia" w:ascii="仿宋_GB2312" w:hAnsi="仿宋_GB2312" w:eastAsia="仿宋_GB2312" w:cs="仿宋_GB2312"/>
          <w:sz w:val="32"/>
          <w:szCs w:val="32"/>
          <w:highlight w:val="none"/>
          <w:lang w:eastAsia="zh-CN"/>
        </w:rPr>
        <w:t>农村生活污水治理体系，保障农村生活污水治理设施有效运行，持续改善农村人居环境，助力全面乡村振兴及美丽乡村建设。</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6" w:name="_Toc25522"/>
      <w:bookmarkStart w:id="7" w:name="_Toc6678"/>
      <w:r>
        <w:rPr>
          <w:rFonts w:hint="eastAsia" w:ascii="楷体_GB2312" w:hAnsi="楷体_GB2312" w:eastAsia="楷体_GB2312" w:cs="楷体_GB2312"/>
          <w:b w:val="0"/>
          <w:bCs w:val="0"/>
          <w:sz w:val="32"/>
          <w:szCs w:val="32"/>
          <w:highlight w:val="none"/>
          <w:lang w:val="en-US" w:eastAsia="zh-CN"/>
        </w:rPr>
        <w:t>（三）编制依据</w:t>
      </w:r>
      <w:bookmarkEnd w:id="6"/>
      <w:bookmarkEnd w:id="7"/>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8" w:name="_Toc13250"/>
      <w:bookmarkStart w:id="9" w:name="_Toc30011"/>
      <w:bookmarkStart w:id="10" w:name="_Toc11588"/>
      <w:bookmarkStart w:id="11" w:name="_Toc29296"/>
      <w:r>
        <w:rPr>
          <w:rFonts w:hint="eastAsia" w:ascii="仿宋_GB2312" w:hAnsi="仿宋_GB2312" w:eastAsia="仿宋_GB2312" w:cs="仿宋_GB2312"/>
          <w:sz w:val="32"/>
          <w:szCs w:val="32"/>
          <w:highlight w:val="none"/>
          <w:lang w:val="en-US" w:eastAsia="zh-CN"/>
        </w:rPr>
        <w:t>1.</w:t>
      </w:r>
      <w:r>
        <w:rPr>
          <w:rFonts w:hint="eastAsia" w:ascii="仿宋_GB2312" w:hAnsi="仿宋_GB2312" w:eastAsia="仿宋_GB2312" w:cs="仿宋_GB2312"/>
          <w:sz w:val="32"/>
          <w:szCs w:val="32"/>
          <w:highlight w:val="none"/>
        </w:rPr>
        <w:t>法律法规</w:t>
      </w:r>
      <w:bookmarkEnd w:id="8"/>
      <w:bookmarkEnd w:id="9"/>
      <w:bookmarkEnd w:id="10"/>
      <w:bookmarkEnd w:id="11"/>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kern w:val="2"/>
          <w:sz w:val="32"/>
          <w:szCs w:val="32"/>
          <w:highlight w:val="none"/>
        </w:rPr>
        <w:t>中华人民共和国环境保护法》（2014年4月修订）；</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kern w:val="2"/>
          <w:sz w:val="32"/>
          <w:szCs w:val="32"/>
          <w:highlight w:val="none"/>
        </w:rPr>
        <w:t>（2）</w:t>
      </w:r>
      <w:r>
        <w:rPr>
          <w:rFonts w:hint="eastAsia" w:ascii="仿宋_GB2312" w:hAnsi="仿宋_GB2312" w:eastAsia="仿宋_GB2312" w:cs="仿宋_GB2312"/>
          <w:sz w:val="32"/>
          <w:szCs w:val="32"/>
          <w:highlight w:val="none"/>
        </w:rPr>
        <w:t>《中华人民共和国城乡规划法》（2019年4月修正）；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（3）《中华人民共和国水法》（2016年7月修订）；</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（4）《中华人民共和国水污染防治法》（2017年6月修正）；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（5）《中华人民共和国固体废物污染环境防治法》（2016年11月修正）；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（6）《中华人民共和国环境影响评价法》（2018年12月修正）；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（7）《中华人民共和国森林法》（2019年12月修正）；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（8）《中华人民共和国突发事件应对法》（2007年8月）；</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（9）《城市供水条例》（2018年3月修正）；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（10）《饮用水水源保护区污染防治管理规定》（2010年12月修正）；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（11）《突发公共卫生事件应急条例》（2010年12月修正）；</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sz w:val="32"/>
          <w:szCs w:val="32"/>
          <w:highlight w:val="none"/>
        </w:rPr>
        <w:t>（12）《基础设施和公用事业特许经营管理办法》（2015年6月）。</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12" w:name="_Toc21765"/>
      <w:bookmarkStart w:id="13" w:name="_Toc3853"/>
      <w:bookmarkStart w:id="14" w:name="_Toc18151"/>
      <w:bookmarkStart w:id="15" w:name="_Toc13424"/>
      <w:r>
        <w:rPr>
          <w:rFonts w:hint="eastAsia" w:ascii="仿宋_GB2312" w:hAnsi="仿宋_GB2312" w:eastAsia="仿宋_GB2312" w:cs="仿宋_GB2312"/>
          <w:sz w:val="32"/>
          <w:szCs w:val="32"/>
          <w:highlight w:val="none"/>
          <w:lang w:val="en-US" w:eastAsia="zh-CN"/>
        </w:rPr>
        <w:t>2.</w:t>
      </w:r>
      <w:r>
        <w:rPr>
          <w:rFonts w:hint="eastAsia" w:ascii="仿宋_GB2312" w:hAnsi="仿宋_GB2312" w:eastAsia="仿宋_GB2312" w:cs="仿宋_GB2312"/>
          <w:sz w:val="32"/>
          <w:szCs w:val="32"/>
          <w:highlight w:val="none"/>
        </w:rPr>
        <w:t>规范和标准</w:t>
      </w:r>
      <w:bookmarkEnd w:id="12"/>
      <w:bookmarkEnd w:id="13"/>
      <w:bookmarkEnd w:id="14"/>
      <w:bookmarkEnd w:id="15"/>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（1）《地表水环境质量标准》（GB3838-2002）；</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（2）《城市给水工程规划规范》（GB50282-2016）；</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（3）《城市水系规划规范》（GB50513-2016）；</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（4）《室外给水设计规范》（GB50013-2018）；</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sz w:val="32"/>
          <w:szCs w:val="32"/>
          <w:highlight w:val="none"/>
        </w:rPr>
        <w:t>（5）《</w:t>
      </w:r>
      <w:r>
        <w:rPr>
          <w:rFonts w:hint="eastAsia" w:ascii="仿宋_GB2312" w:hAnsi="仿宋_GB2312" w:eastAsia="仿宋_GB2312" w:cs="仿宋_GB2312"/>
          <w:kern w:val="2"/>
          <w:sz w:val="32"/>
          <w:szCs w:val="32"/>
          <w:highlight w:val="none"/>
        </w:rPr>
        <w:t>给水排水工程管道结构设计规范》（GB50332-2002）；</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（6）《给水排水管道工程施工及验收规范》（GB50268-2008）；</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（7）《给水排水工程构筑物结构设计规范》(GB50069-2002)；</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（8）《给水排水构筑物工程施工及验收规范》（GB50141-2008）；</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（9）《城市排水工程规划规范》（GB50318-2017）；</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（10）</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kern w:val="2"/>
          <w:sz w:val="32"/>
          <w:szCs w:val="32"/>
          <w:highlight w:val="none"/>
        </w:rPr>
        <w:t>建筑给水排水工程设计规范》（GB50015-2019）；</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（11）《室外排水设计规范》（GB50014-2016）；</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（12）《城镇污水处理厂污染物排放标准》（GB18918-2002）；</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（13）《污水排入城镇下水道水质标准》（GB/T31962-2015）；</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（14）《</w:t>
      </w:r>
      <w:r>
        <w:rPr>
          <w:rFonts w:hint="eastAsia" w:ascii="仿宋_GB2312" w:hAnsi="仿宋_GB2312" w:eastAsia="仿宋_GB2312" w:cs="仿宋_GB2312"/>
          <w:sz w:val="32"/>
          <w:szCs w:val="32"/>
          <w:highlight w:val="none"/>
          <w:lang w:val="en-US" w:eastAsia="zh-CN"/>
        </w:rPr>
        <w:t>广东省</w:t>
      </w:r>
      <w:r>
        <w:rPr>
          <w:rFonts w:hint="eastAsia" w:ascii="仿宋_GB2312" w:hAnsi="仿宋_GB2312" w:eastAsia="仿宋_GB2312" w:cs="仿宋_GB2312"/>
          <w:sz w:val="32"/>
          <w:szCs w:val="32"/>
          <w:highlight w:val="none"/>
        </w:rPr>
        <w:t>农村生活污水处理排放标准》（DB44/2208-2019）；</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（15）《人工湿地污水处理工程技术规范》（HJ2005-2010）；</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（16）《农村生活污水处理工程技术标准》（GBT51347-2019）；</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lang w:eastAsia="zh-CN"/>
        </w:rPr>
      </w:pPr>
      <w:r>
        <w:rPr>
          <w:rFonts w:hint="eastAsia" w:ascii="仿宋_GB2312" w:hAnsi="仿宋_GB2312" w:eastAsia="仿宋_GB2312" w:cs="仿宋_GB2312"/>
          <w:kern w:val="2"/>
          <w:sz w:val="32"/>
          <w:szCs w:val="32"/>
          <w:highlight w:val="none"/>
        </w:rPr>
        <w:t>（17）《农村生活污染控制技术规范》（HJ574-2010）</w:t>
      </w:r>
      <w:r>
        <w:rPr>
          <w:rFonts w:hint="eastAsia" w:ascii="仿宋_GB2312" w:hAnsi="仿宋_GB2312" w:eastAsia="仿宋_GB2312" w:cs="仿宋_GB2312"/>
          <w:kern w:val="2"/>
          <w:sz w:val="32"/>
          <w:szCs w:val="32"/>
          <w:highlight w:val="none"/>
          <w:lang w:eastAsia="zh-CN"/>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lang w:eastAsia="zh-CN"/>
        </w:rPr>
      </w:pP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18</w:t>
      </w: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广东省农村生活污水资源化利用指南（试行）</w:t>
      </w: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征求意见稿</w:t>
      </w:r>
      <w:r>
        <w:rPr>
          <w:rFonts w:hint="eastAsia" w:ascii="仿宋_GB2312" w:hAnsi="仿宋_GB2312" w:eastAsia="仿宋_GB2312" w:cs="仿宋_GB2312"/>
          <w:kern w:val="2"/>
          <w:sz w:val="32"/>
          <w:szCs w:val="32"/>
          <w:highlight w:val="none"/>
          <w:lang w:eastAsia="zh-CN"/>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lang w:val="en-US" w:eastAsia="zh-CN"/>
        </w:rPr>
      </w:pP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19</w:t>
      </w: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广东省农村生活污水处理设施运营维护与评价标准</w:t>
      </w: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DBJ/T 15-207-2020</w:t>
      </w: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lang w:eastAsia="zh-CN"/>
        </w:rPr>
        <w:t>（</w:t>
      </w:r>
      <w:r>
        <w:rPr>
          <w:rFonts w:hint="eastAsia" w:ascii="仿宋_GB2312" w:hAnsi="仿宋_GB2312" w:eastAsia="仿宋_GB2312" w:cs="仿宋_GB2312"/>
          <w:kern w:val="2"/>
          <w:sz w:val="32"/>
          <w:szCs w:val="32"/>
          <w:highlight w:val="none"/>
          <w:lang w:val="en-US" w:eastAsia="zh-CN"/>
        </w:rPr>
        <w:t>20</w:t>
      </w:r>
      <w:r>
        <w:rPr>
          <w:rFonts w:hint="eastAsia" w:ascii="仿宋_GB2312" w:hAnsi="仿宋_GB2312" w:eastAsia="仿宋_GB2312" w:cs="仿宋_GB2312"/>
          <w:kern w:val="2"/>
          <w:sz w:val="32"/>
          <w:szCs w:val="32"/>
          <w:highlight w:val="none"/>
          <w:lang w:eastAsia="zh-CN"/>
        </w:rPr>
        <w:t>）《广东省农村生活污水处理设施建设技术规程》（DBJ/T15-206-2020）</w:t>
      </w:r>
      <w:r>
        <w:rPr>
          <w:rFonts w:hint="eastAsia" w:ascii="仿宋_GB2312" w:hAnsi="仿宋_GB2312" w:eastAsia="仿宋_GB2312" w:cs="仿宋_GB2312"/>
          <w:kern w:val="2"/>
          <w:sz w:val="32"/>
          <w:szCs w:val="32"/>
          <w:highlight w:val="none"/>
        </w:rPr>
        <w:t>。</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16" w:name="_Toc21817"/>
      <w:bookmarkStart w:id="17" w:name="_Toc5898"/>
      <w:bookmarkStart w:id="18" w:name="_Toc26740"/>
      <w:bookmarkStart w:id="19" w:name="_Toc9192"/>
      <w:r>
        <w:rPr>
          <w:rFonts w:hint="eastAsia" w:ascii="仿宋_GB2312" w:hAnsi="仿宋_GB2312" w:eastAsia="仿宋_GB2312" w:cs="仿宋_GB2312"/>
          <w:sz w:val="32"/>
          <w:szCs w:val="32"/>
          <w:highlight w:val="none"/>
          <w:lang w:val="en-US" w:eastAsia="zh-CN"/>
        </w:rPr>
        <w:t>3.</w:t>
      </w:r>
      <w:r>
        <w:rPr>
          <w:rFonts w:hint="eastAsia" w:ascii="仿宋_GB2312" w:hAnsi="仿宋_GB2312" w:eastAsia="仿宋_GB2312" w:cs="仿宋_GB2312"/>
          <w:sz w:val="32"/>
          <w:szCs w:val="32"/>
          <w:highlight w:val="none"/>
        </w:rPr>
        <w:t>政策文件</w:t>
      </w:r>
      <w:bookmarkEnd w:id="16"/>
      <w:bookmarkEnd w:id="17"/>
      <w:bookmarkEnd w:id="18"/>
      <w:bookmarkEnd w:id="19"/>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（1）《中共中央国务院关于加快推进生态文明建设的意见》（中发〔2015〕12号）；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（2）《中共中央国务院关于实施乡村振兴战略的意见》（中发〔2018〕1号）；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（3）《农村人居环境整治三年行动方案》（中办发〔2018〕5号）；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（4）《关于推进农村生活污水治理的指导意见》（中农发〔2019〕14号）；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（5）《农业农村污染治理攻坚战行动计划》（环土壤〔2018〕143号）；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（6）《关于进一步加强农业农村生态环境工作的指导意见》（环办土壤〔2019〕24号）；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（7）《县域农村生活污水治理专项规划编制指南（试行）》（环办土壤函〔2019〕756号）；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（8）《关于推进乡村振兴战略的实施意见》（粤发〔2018〕16号）；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（9）《关于全域推进农村人居环境整治建设生态宜居美丽乡村的实施方案》（粤办发〔2018〕21号）；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（10）《广东省打好污染防治攻坚战三年行动计划（2018-2020年）》（粤办发〔2018〕29号）；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（11）《系统推进农村生态环境综合治理行动方案》的通知（粤环〔2019〕5号）；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（12）《关于对标三年取得重大进展硬任务扎实推动乡村振兴的实施方案》的通知（粤发</w:t>
      </w:r>
      <w:bookmarkStart w:id="20" w:name="OLE_LINK2"/>
      <w:r>
        <w:rPr>
          <w:rFonts w:hint="eastAsia" w:ascii="仿宋_GB2312" w:hAnsi="仿宋_GB2312" w:eastAsia="仿宋_GB2312" w:cs="仿宋_GB2312"/>
          <w:kern w:val="2"/>
          <w:sz w:val="32"/>
          <w:szCs w:val="32"/>
          <w:highlight w:val="none"/>
        </w:rPr>
        <w:t>〔</w:t>
      </w:r>
      <w:bookmarkEnd w:id="20"/>
      <w:r>
        <w:rPr>
          <w:rFonts w:hint="eastAsia" w:ascii="仿宋_GB2312" w:hAnsi="仿宋_GB2312" w:eastAsia="仿宋_GB2312" w:cs="仿宋_GB2312"/>
          <w:kern w:val="2"/>
          <w:sz w:val="32"/>
          <w:szCs w:val="32"/>
          <w:highlight w:val="none"/>
        </w:rPr>
        <w:t>2019〕6号）；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rPr>
      </w:pPr>
      <w:r>
        <w:rPr>
          <w:rFonts w:hint="eastAsia" w:ascii="仿宋_GB2312" w:hAnsi="仿宋_GB2312" w:eastAsia="仿宋_GB2312" w:cs="仿宋_GB2312"/>
          <w:kern w:val="2"/>
          <w:sz w:val="32"/>
          <w:szCs w:val="32"/>
          <w:highlight w:val="none"/>
        </w:rPr>
        <w:t>（13）《广东省打赢农业农村污染治理攻坚战实施方案》（粤环发〔2019〕3号）；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（14）《广东省农村生活污水治理攻坚实施方案（2019-2022年）》（粤环函〔2019〕1116号）；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（15）《广东省农村生活污水治理技术指引（试行）》（</w:t>
      </w:r>
      <w:r>
        <w:rPr>
          <w:rFonts w:hint="eastAsia" w:ascii="仿宋_GB2312" w:hAnsi="仿宋_GB2312" w:eastAsia="仿宋_GB2312" w:cs="仿宋_GB2312"/>
          <w:kern w:val="2"/>
          <w:sz w:val="32"/>
          <w:szCs w:val="32"/>
          <w:highlight w:val="none"/>
        </w:rPr>
        <w:t>粤环办函〔2020〕9号</w:t>
      </w:r>
      <w:r>
        <w:rPr>
          <w:rFonts w:hint="eastAsia" w:ascii="仿宋_GB2312" w:hAnsi="仿宋_GB2312" w:eastAsia="仿宋_GB2312" w:cs="仿宋_GB2312"/>
          <w:sz w:val="32"/>
          <w:szCs w:val="32"/>
          <w:highlight w:val="none"/>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（16）《广东省农村生活污水治理适用技术和设备指引》（粤建村〔2016〕200号）；</w:t>
      </w:r>
    </w:p>
    <w:p>
      <w:pPr>
        <w:keepNext w:val="0"/>
        <w:keepLines w:val="0"/>
        <w:pageBreakBefore w:val="0"/>
        <w:widowControl/>
        <w:suppressLineNumbers w:val="0"/>
        <w:kinsoku/>
        <w:wordWrap/>
        <w:overflowPunct/>
        <w:topLinePunct w:val="0"/>
        <w:bidi w:val="0"/>
        <w:snapToGrid/>
        <w:spacing w:line="520" w:lineRule="exact"/>
        <w:ind w:firstLine="640" w:firstLineChars="200"/>
        <w:jc w:val="left"/>
        <w:textAlignment w:val="auto"/>
        <w:rPr>
          <w:rFonts w:hint="eastAsia" w:ascii="仿宋_GB2312" w:hAnsi="仿宋_GB2312" w:eastAsia="仿宋_GB2312" w:cs="仿宋_GB2312"/>
          <w:kern w:val="0"/>
          <w:sz w:val="32"/>
          <w:szCs w:val="32"/>
          <w:highlight w:val="none"/>
          <w:lang w:val="en-US" w:eastAsia="zh-CN" w:bidi="ar-SA"/>
        </w:rPr>
      </w:pPr>
      <w:r>
        <w:rPr>
          <w:rFonts w:hint="eastAsia" w:ascii="仿宋_GB2312" w:hAnsi="仿宋_GB2312" w:eastAsia="仿宋_GB2312" w:cs="仿宋_GB2312"/>
          <w:kern w:val="0"/>
          <w:sz w:val="32"/>
          <w:szCs w:val="32"/>
          <w:highlight w:val="none"/>
          <w:lang w:val="en-US" w:eastAsia="zh-CN" w:bidi="ar-SA"/>
        </w:rPr>
        <w:t>（17）《深化我省农村生活污水治理攻坚行动的指导意见》（粤办函</w:t>
      </w:r>
      <w:r>
        <w:rPr>
          <w:rFonts w:hint="eastAsia" w:ascii="仿宋_GB2312" w:hAnsi="仿宋_GB2312" w:eastAsia="仿宋_GB2312" w:cs="仿宋_GB2312"/>
          <w:kern w:val="2"/>
          <w:sz w:val="32"/>
          <w:szCs w:val="32"/>
          <w:highlight w:val="none"/>
        </w:rPr>
        <w:t>〔</w:t>
      </w:r>
      <w:r>
        <w:rPr>
          <w:rFonts w:hint="eastAsia" w:ascii="仿宋_GB2312" w:hAnsi="仿宋_GB2312" w:eastAsia="仿宋_GB2312" w:cs="仿宋_GB2312"/>
          <w:kern w:val="0"/>
          <w:sz w:val="32"/>
          <w:szCs w:val="32"/>
          <w:highlight w:val="none"/>
          <w:lang w:val="en-US" w:eastAsia="zh-CN" w:bidi="ar-SA"/>
        </w:rPr>
        <w:t>2021</w:t>
      </w:r>
      <w:r>
        <w:rPr>
          <w:rFonts w:hint="eastAsia" w:ascii="仿宋_GB2312" w:hAnsi="仿宋_GB2312" w:eastAsia="仿宋_GB2312" w:cs="仿宋_GB2312"/>
          <w:kern w:val="2"/>
          <w:sz w:val="32"/>
          <w:szCs w:val="32"/>
          <w:highlight w:val="none"/>
        </w:rPr>
        <w:t>〕</w:t>
      </w:r>
      <w:r>
        <w:rPr>
          <w:rFonts w:hint="eastAsia" w:ascii="仿宋_GB2312" w:hAnsi="仿宋_GB2312" w:eastAsia="仿宋_GB2312" w:cs="仿宋_GB2312"/>
          <w:kern w:val="0"/>
          <w:sz w:val="32"/>
          <w:szCs w:val="32"/>
          <w:highlight w:val="none"/>
          <w:lang w:val="en-US" w:eastAsia="zh-CN" w:bidi="ar-SA"/>
        </w:rPr>
        <w:t>285号）</w:t>
      </w:r>
    </w:p>
    <w:p>
      <w:pPr>
        <w:pStyle w:val="9"/>
        <w:pageBreakBefore w:val="0"/>
        <w:kinsoku/>
        <w:wordWrap/>
        <w:overflowPunct/>
        <w:topLinePunct w:val="0"/>
        <w:bidi w:val="0"/>
        <w:snapToGrid/>
        <w:spacing w:line="520" w:lineRule="exact"/>
        <w:ind w:firstLine="56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（18）《关于印发村庄建设项目施行简易审批实施意见的通知》（粤发改农经〔2021〕146号）</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（19）《广东省农村人居环境整治工程项目审批制度改革工作指导意见》（粤乡振组办〔2020〕2号）</w:t>
      </w:r>
    </w:p>
    <w:p>
      <w:pPr>
        <w:pStyle w:val="9"/>
        <w:pageBreakBefore w:val="0"/>
        <w:kinsoku/>
        <w:wordWrap/>
        <w:overflowPunct/>
        <w:topLinePunct w:val="0"/>
        <w:bidi w:val="0"/>
        <w:snapToGrid/>
        <w:spacing w:line="520" w:lineRule="exact"/>
        <w:ind w:firstLine="56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（20）《关于印发广东省支持村级组织和农民工匠承接农村小型工程项目指导意见的通知》（粤发改农经函〔2017〕6869号）</w:t>
      </w:r>
    </w:p>
    <w:p>
      <w:pPr>
        <w:pStyle w:val="9"/>
        <w:pageBreakBefore w:val="0"/>
        <w:kinsoku/>
        <w:wordWrap/>
        <w:overflowPunct/>
        <w:topLinePunct w:val="0"/>
        <w:bidi w:val="0"/>
        <w:snapToGrid/>
        <w:spacing w:line="520" w:lineRule="exact"/>
        <w:ind w:firstLine="56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（21）《关于印发广东省在农业农村基础设施建设领域积极推广以工代赈方式实施意见的通知》（粤发改农经〔2021〕273号）</w:t>
      </w:r>
    </w:p>
    <w:p>
      <w:pPr>
        <w:pStyle w:val="9"/>
        <w:pageBreakBefore w:val="0"/>
        <w:kinsoku/>
        <w:wordWrap/>
        <w:overflowPunct/>
        <w:topLinePunct w:val="0"/>
        <w:bidi w:val="0"/>
        <w:snapToGrid/>
        <w:spacing w:line="520" w:lineRule="exact"/>
        <w:ind w:firstLine="56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（22）《广东省农村生活污水治理技术指引（试行）》（粤环办函〔2020〕9号）</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21" w:name="_Toc19332"/>
      <w:bookmarkStart w:id="22" w:name="_Toc23973"/>
      <w:bookmarkStart w:id="23" w:name="_Toc27154"/>
      <w:bookmarkStart w:id="24" w:name="_Toc19868"/>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规划报告</w:t>
      </w:r>
      <w:bookmarkEnd w:id="21"/>
      <w:bookmarkEnd w:id="22"/>
      <w:bookmarkEnd w:id="23"/>
      <w:bookmarkEnd w:id="24"/>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rPr>
        <w:t>（1）</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汕尾市城市总体规划</w:t>
      </w:r>
      <w:r>
        <w:rPr>
          <w:rFonts w:hint="eastAsia" w:ascii="仿宋_GB2312" w:hAnsi="仿宋_GB2312" w:eastAsia="仿宋_GB2312" w:cs="仿宋_GB2312"/>
          <w:sz w:val="32"/>
          <w:szCs w:val="32"/>
          <w:highlight w:val="none"/>
          <w:lang w:eastAsia="zh-CN"/>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（2）</w:t>
      </w:r>
      <w:r>
        <w:rPr>
          <w:rFonts w:hint="eastAsia" w:ascii="仿宋_GB2312" w:hAnsi="仿宋_GB2312" w:eastAsia="仿宋_GB2312" w:cs="仿宋_GB2312"/>
          <w:kern w:val="2"/>
          <w:sz w:val="32"/>
          <w:szCs w:val="32"/>
          <w:highlight w:val="none"/>
        </w:rPr>
        <w:t>《</w:t>
      </w:r>
      <w:r>
        <w:rPr>
          <w:rFonts w:hint="eastAsia" w:ascii="仿宋_GB2312" w:hAnsi="仿宋_GB2312" w:eastAsia="仿宋_GB2312" w:cs="仿宋_GB2312"/>
          <w:kern w:val="2"/>
          <w:sz w:val="32"/>
          <w:szCs w:val="32"/>
          <w:highlight w:val="none"/>
          <w:lang w:val="en-US" w:eastAsia="zh-CN"/>
        </w:rPr>
        <w:t>汕尾市水功能区划</w:t>
      </w:r>
      <w:r>
        <w:rPr>
          <w:rFonts w:hint="eastAsia" w:ascii="仿宋_GB2312" w:hAnsi="仿宋_GB2312" w:eastAsia="仿宋_GB2312" w:cs="仿宋_GB2312"/>
          <w:kern w:val="2"/>
          <w:sz w:val="32"/>
          <w:szCs w:val="32"/>
          <w:highlight w:val="none"/>
        </w:rPr>
        <w:t>》</w:t>
      </w:r>
      <w:r>
        <w:rPr>
          <w:rFonts w:hint="eastAsia" w:ascii="仿宋_GB2312" w:hAnsi="仿宋_GB2312" w:eastAsia="仿宋_GB2312" w:cs="仿宋_GB2312"/>
          <w:sz w:val="32"/>
          <w:szCs w:val="32"/>
          <w:highlight w:val="none"/>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3</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黄江“一河一策”实施方案（2018-2020年）</w:t>
      </w:r>
      <w:r>
        <w:rPr>
          <w:rFonts w:hint="eastAsia" w:ascii="仿宋_GB2312" w:hAnsi="仿宋_GB2312" w:eastAsia="仿宋_GB2312" w:cs="仿宋_GB2312"/>
          <w:sz w:val="32"/>
          <w:szCs w:val="32"/>
          <w:highlight w:val="none"/>
        </w:rPr>
        <w:t>》；</w:t>
      </w:r>
    </w:p>
    <w:p>
      <w:pPr>
        <w:pStyle w:val="9"/>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lang w:eastAsia="zh-CN"/>
        </w:rPr>
        <w:t>）《汕尾市城区 9 个省定贫困村农村污水治理工程可行性研究报告》；</w:t>
      </w:r>
    </w:p>
    <w:p>
      <w:pPr>
        <w:pStyle w:val="10"/>
        <w:pageBreakBefore w:val="0"/>
        <w:kinsoku/>
        <w:wordWrap/>
        <w:overflowPunct/>
        <w:topLinePunct w:val="0"/>
        <w:bidi w:val="0"/>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5</w:t>
      </w:r>
      <w:r>
        <w:rPr>
          <w:rFonts w:hint="eastAsia" w:ascii="仿宋_GB2312" w:hAnsi="仿宋_GB2312" w:eastAsia="仿宋_GB2312" w:cs="仿宋_GB2312"/>
          <w:sz w:val="32"/>
          <w:szCs w:val="32"/>
          <w:highlight w:val="none"/>
          <w:lang w:eastAsia="zh-CN"/>
        </w:rPr>
        <w:t>）《汕尾市城区推进农村人居环境整治创建生态宜居美丽乡村建设项目可行性研究报告》。</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25" w:name="_Toc26333"/>
      <w:bookmarkStart w:id="26" w:name="_Toc17976"/>
      <w:r>
        <w:rPr>
          <w:rFonts w:hint="eastAsia" w:ascii="楷体_GB2312" w:hAnsi="楷体_GB2312" w:eastAsia="楷体_GB2312" w:cs="楷体_GB2312"/>
          <w:b w:val="0"/>
          <w:bCs w:val="0"/>
          <w:sz w:val="32"/>
          <w:szCs w:val="32"/>
          <w:highlight w:val="none"/>
          <w:lang w:val="en-US" w:eastAsia="zh-CN"/>
        </w:rPr>
        <w:t>（四）编制原则</w:t>
      </w:r>
      <w:bookmarkEnd w:id="25"/>
      <w:bookmarkEnd w:id="26"/>
    </w:p>
    <w:p>
      <w:pPr>
        <w:pageBreakBefore w:val="0"/>
        <w:kinsoku/>
        <w:wordWrap/>
        <w:overflowPunct/>
        <w:topLinePunct w:val="0"/>
        <w:autoSpaceDE w:val="0"/>
        <w:autoSpaceDN w:val="0"/>
        <w:bidi w:val="0"/>
        <w:adjustRightInd w:val="0"/>
        <w:snapToGrid/>
        <w:spacing w:line="520" w:lineRule="exact"/>
        <w:ind w:firstLine="643" w:firstLineChars="200"/>
        <w:textAlignment w:val="auto"/>
        <w:outlineLvl w:val="2"/>
        <w:rPr>
          <w:rFonts w:hint="eastAsia" w:ascii="仿宋_GB2312" w:hAnsi="仿宋_GB2312" w:eastAsia="仿宋_GB2312" w:cs="仿宋_GB2312"/>
          <w:b/>
          <w:bCs/>
          <w:sz w:val="32"/>
          <w:szCs w:val="32"/>
          <w:highlight w:val="none"/>
        </w:rPr>
      </w:pPr>
      <w:bookmarkStart w:id="27" w:name="_Toc4312"/>
      <w:bookmarkStart w:id="28" w:name="_Toc21804"/>
      <w:bookmarkStart w:id="29" w:name="_Toc7083"/>
      <w:bookmarkStart w:id="30" w:name="_Toc28147"/>
      <w:bookmarkStart w:id="31" w:name="_Toc24121"/>
      <w:bookmarkStart w:id="32" w:name="_Toc32051"/>
      <w:r>
        <w:rPr>
          <w:rFonts w:hint="eastAsia" w:ascii="仿宋_GB2312" w:hAnsi="仿宋_GB2312" w:eastAsia="仿宋_GB2312" w:cs="仿宋_GB2312"/>
          <w:b/>
          <w:bCs/>
          <w:sz w:val="32"/>
          <w:szCs w:val="32"/>
          <w:highlight w:val="none"/>
          <w:lang w:val="en-US" w:eastAsia="zh-CN"/>
        </w:rPr>
        <w:t>1.</w:t>
      </w:r>
      <w:r>
        <w:rPr>
          <w:rFonts w:hint="eastAsia" w:ascii="仿宋_GB2312" w:hAnsi="仿宋_GB2312" w:eastAsia="仿宋_GB2312" w:cs="仿宋_GB2312"/>
          <w:b/>
          <w:bCs/>
          <w:sz w:val="32"/>
          <w:szCs w:val="32"/>
          <w:highlight w:val="none"/>
        </w:rPr>
        <w:t>科学规划，统筹安排</w:t>
      </w:r>
      <w:bookmarkEnd w:id="27"/>
      <w:bookmarkEnd w:id="28"/>
      <w:bookmarkEnd w:id="29"/>
      <w:bookmarkEnd w:id="30"/>
      <w:bookmarkEnd w:id="31"/>
      <w:bookmarkEnd w:id="32"/>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kern w:val="0"/>
          <w:sz w:val="32"/>
          <w:szCs w:val="32"/>
          <w:highlight w:val="none"/>
        </w:rPr>
      </w:pPr>
      <w:r>
        <w:rPr>
          <w:rFonts w:hint="eastAsia" w:ascii="仿宋_GB2312" w:hAnsi="仿宋_GB2312" w:eastAsia="仿宋_GB2312" w:cs="仿宋_GB2312"/>
          <w:sz w:val="32"/>
          <w:szCs w:val="32"/>
          <w:highlight w:val="none"/>
        </w:rPr>
        <w:t>结合生态保护红线、村庄规划、水环境功能区划、给排水、改厕和黑臭水体治理等工作，充分考虑环境容量、村民意愿等因素，以污水减量化、分类就地处理、循环利用为导向，科学规划和安排农村生活污水治理</w:t>
      </w:r>
      <w:r>
        <w:rPr>
          <w:rFonts w:hint="eastAsia" w:ascii="仿宋_GB2312" w:hAnsi="仿宋_GB2312" w:eastAsia="仿宋_GB2312" w:cs="仿宋_GB2312"/>
          <w:sz w:val="32"/>
          <w:szCs w:val="32"/>
          <w:highlight w:val="none"/>
          <w:lang w:val="en-US" w:eastAsia="zh-CN"/>
        </w:rPr>
        <w:t>与提升改造</w:t>
      </w:r>
      <w:r>
        <w:rPr>
          <w:rFonts w:hint="eastAsia" w:ascii="仿宋_GB2312" w:hAnsi="仿宋_GB2312" w:eastAsia="仿宋_GB2312" w:cs="仿宋_GB2312"/>
          <w:sz w:val="32"/>
          <w:szCs w:val="32"/>
          <w:highlight w:val="none"/>
        </w:rPr>
        <w:t>工作。</w:t>
      </w:r>
    </w:p>
    <w:p>
      <w:pPr>
        <w:pageBreakBefore w:val="0"/>
        <w:kinsoku/>
        <w:wordWrap/>
        <w:overflowPunct/>
        <w:topLinePunct w:val="0"/>
        <w:autoSpaceDE w:val="0"/>
        <w:autoSpaceDN w:val="0"/>
        <w:bidi w:val="0"/>
        <w:adjustRightInd w:val="0"/>
        <w:snapToGrid/>
        <w:spacing w:line="520" w:lineRule="exact"/>
        <w:ind w:firstLine="643" w:firstLineChars="200"/>
        <w:textAlignment w:val="auto"/>
        <w:outlineLvl w:val="2"/>
        <w:rPr>
          <w:rFonts w:hint="eastAsia" w:ascii="仿宋_GB2312" w:hAnsi="仿宋_GB2312" w:eastAsia="仿宋_GB2312" w:cs="仿宋_GB2312"/>
          <w:b/>
          <w:bCs/>
          <w:sz w:val="32"/>
          <w:szCs w:val="32"/>
          <w:highlight w:val="none"/>
        </w:rPr>
      </w:pPr>
      <w:bookmarkStart w:id="33" w:name="_Toc7490"/>
      <w:bookmarkStart w:id="34" w:name="_Toc9249"/>
      <w:bookmarkStart w:id="35" w:name="_Toc15085"/>
      <w:bookmarkStart w:id="36" w:name="_Toc3304"/>
      <w:bookmarkStart w:id="37" w:name="_Toc14153"/>
      <w:bookmarkStart w:id="38" w:name="_Toc12728"/>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rPr>
        <w:t>突出重点，梯次推进</w:t>
      </w:r>
      <w:bookmarkEnd w:id="33"/>
      <w:bookmarkEnd w:id="34"/>
      <w:bookmarkEnd w:id="35"/>
      <w:bookmarkEnd w:id="36"/>
      <w:bookmarkEnd w:id="37"/>
      <w:bookmarkEnd w:id="38"/>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综合考虑现阶段城乡发展趋势、财政投入能力、农民接受程度等，合理确定</w:t>
      </w:r>
      <w:r>
        <w:rPr>
          <w:rFonts w:hint="eastAsia" w:ascii="仿宋_GB2312" w:hAnsi="仿宋_GB2312" w:eastAsia="仿宋_GB2312" w:cs="仿宋_GB2312"/>
          <w:sz w:val="32"/>
          <w:szCs w:val="32"/>
          <w:highlight w:val="none"/>
          <w:lang w:val="en-US" w:eastAsia="zh-CN"/>
        </w:rPr>
        <w:t>分年度</w:t>
      </w:r>
      <w:r>
        <w:rPr>
          <w:rFonts w:hint="eastAsia" w:ascii="仿宋_GB2312" w:hAnsi="仿宋_GB2312" w:eastAsia="仿宋_GB2312" w:cs="仿宋_GB2312"/>
          <w:sz w:val="32"/>
          <w:szCs w:val="32"/>
          <w:highlight w:val="none"/>
        </w:rPr>
        <w:t>治理任务目标。优先整治</w:t>
      </w:r>
      <w:r>
        <w:rPr>
          <w:rFonts w:hint="eastAsia" w:ascii="仿宋_GB2312" w:hAnsi="仿宋_GB2312" w:eastAsia="仿宋_GB2312" w:cs="仿宋_GB2312"/>
          <w:sz w:val="32"/>
          <w:szCs w:val="32"/>
          <w:highlight w:val="none"/>
          <w:lang w:val="en-US" w:eastAsia="zh-CN"/>
        </w:rPr>
        <w:t>和提升</w:t>
      </w:r>
      <w:r>
        <w:rPr>
          <w:rFonts w:hint="eastAsia" w:ascii="仿宋_GB2312" w:hAnsi="仿宋_GB2312" w:eastAsia="仿宋_GB2312" w:cs="仿宋_GB2312"/>
          <w:sz w:val="32"/>
          <w:szCs w:val="32"/>
          <w:highlight w:val="none"/>
        </w:rPr>
        <w:t>人口</w:t>
      </w:r>
      <w:r>
        <w:rPr>
          <w:rFonts w:hint="eastAsia" w:ascii="仿宋_GB2312" w:hAnsi="仿宋_GB2312" w:eastAsia="仿宋_GB2312" w:cs="仿宋_GB2312"/>
          <w:sz w:val="32"/>
          <w:szCs w:val="32"/>
          <w:highlight w:val="none"/>
          <w:lang w:val="en-US" w:eastAsia="zh-CN"/>
        </w:rPr>
        <w:t>集中</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治理需求迫切、美丽乡村风貌示范带或者乡村旅游区</w:t>
      </w:r>
      <w:r>
        <w:rPr>
          <w:rFonts w:hint="eastAsia" w:ascii="仿宋_GB2312" w:hAnsi="仿宋_GB2312" w:eastAsia="仿宋_GB2312" w:cs="仿宋_GB2312"/>
          <w:sz w:val="32"/>
          <w:szCs w:val="32"/>
          <w:highlight w:val="none"/>
        </w:rPr>
        <w:t>内的村庄</w:t>
      </w:r>
      <w:r>
        <w:rPr>
          <w:rFonts w:hint="eastAsia" w:ascii="仿宋_GB2312" w:hAnsi="仿宋_GB2312" w:eastAsia="仿宋_GB2312" w:cs="仿宋_GB2312"/>
          <w:sz w:val="32"/>
          <w:szCs w:val="32"/>
          <w:highlight w:val="none"/>
          <w:lang w:val="en-US" w:eastAsia="zh-CN"/>
        </w:rPr>
        <w:t>，合理安排建设时序，做到一次规划、梯次推进。</w:t>
      </w:r>
    </w:p>
    <w:p>
      <w:pPr>
        <w:pageBreakBefore w:val="0"/>
        <w:kinsoku/>
        <w:wordWrap/>
        <w:overflowPunct/>
        <w:topLinePunct w:val="0"/>
        <w:autoSpaceDE w:val="0"/>
        <w:autoSpaceDN w:val="0"/>
        <w:bidi w:val="0"/>
        <w:adjustRightInd w:val="0"/>
        <w:snapToGrid/>
        <w:spacing w:line="520" w:lineRule="exact"/>
        <w:ind w:firstLine="643" w:firstLineChars="200"/>
        <w:textAlignment w:val="auto"/>
        <w:outlineLvl w:val="2"/>
        <w:rPr>
          <w:rFonts w:hint="eastAsia" w:ascii="仿宋_GB2312" w:hAnsi="仿宋_GB2312" w:eastAsia="仿宋_GB2312" w:cs="仿宋_GB2312"/>
          <w:b/>
          <w:bCs/>
          <w:sz w:val="32"/>
          <w:szCs w:val="32"/>
          <w:highlight w:val="none"/>
        </w:rPr>
      </w:pPr>
      <w:bookmarkStart w:id="39" w:name="_Toc2031"/>
      <w:bookmarkStart w:id="40" w:name="_Toc7519"/>
      <w:bookmarkStart w:id="41" w:name="_Toc16391"/>
      <w:bookmarkStart w:id="42" w:name="_Toc12730"/>
      <w:bookmarkStart w:id="43" w:name="_Toc1526"/>
      <w:bookmarkStart w:id="44" w:name="_Toc23753"/>
      <w:r>
        <w:rPr>
          <w:rFonts w:hint="eastAsia" w:ascii="仿宋_GB2312" w:hAnsi="仿宋_GB2312" w:eastAsia="仿宋_GB2312" w:cs="仿宋_GB2312"/>
          <w:b/>
          <w:bCs/>
          <w:sz w:val="32"/>
          <w:szCs w:val="32"/>
          <w:highlight w:val="none"/>
          <w:lang w:val="en-US" w:eastAsia="zh-CN"/>
        </w:rPr>
        <w:t>3.</w:t>
      </w:r>
      <w:r>
        <w:rPr>
          <w:rFonts w:hint="eastAsia" w:ascii="仿宋_GB2312" w:hAnsi="仿宋_GB2312" w:eastAsia="仿宋_GB2312" w:cs="仿宋_GB2312"/>
          <w:b/>
          <w:bCs/>
          <w:sz w:val="32"/>
          <w:szCs w:val="32"/>
          <w:highlight w:val="none"/>
        </w:rPr>
        <w:t>因地制宜，分类</w:t>
      </w:r>
      <w:bookmarkEnd w:id="39"/>
      <w:bookmarkEnd w:id="40"/>
      <w:bookmarkEnd w:id="41"/>
      <w:bookmarkEnd w:id="42"/>
      <w:bookmarkEnd w:id="43"/>
      <w:r>
        <w:rPr>
          <w:rFonts w:hint="eastAsia" w:ascii="仿宋_GB2312" w:hAnsi="仿宋_GB2312" w:eastAsia="仿宋_GB2312" w:cs="仿宋_GB2312"/>
          <w:b/>
          <w:bCs/>
          <w:sz w:val="32"/>
          <w:szCs w:val="32"/>
          <w:highlight w:val="none"/>
          <w:lang w:val="en-US" w:eastAsia="zh-CN"/>
        </w:rPr>
        <w:t>提升</w:t>
      </w:r>
      <w:bookmarkEnd w:id="44"/>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常住人口数量较少、村庄周边受纳体丰富的地区，</w:t>
      </w:r>
      <w:r>
        <w:rPr>
          <w:rFonts w:hint="eastAsia" w:ascii="仿宋_GB2312" w:hAnsi="仿宋_GB2312" w:eastAsia="仿宋_GB2312" w:cs="仿宋_GB2312"/>
          <w:sz w:val="32"/>
          <w:szCs w:val="32"/>
          <w:highlight w:val="none"/>
        </w:rPr>
        <w:t>优先采用资源化利用的治理方式</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采用纳厂模式的自然村，结合城镇污水处理厂的提质增效，逐步完善村庄的雨污分离措施，完善错接漏接、接户覆盖率不足的问题；采用建设设施模式的自然村，逐步提高管网覆盖率，加强设施的运维</w:t>
      </w:r>
      <w:r>
        <w:rPr>
          <w:rFonts w:hint="eastAsia" w:ascii="仿宋_GB2312" w:hAnsi="仿宋_GB2312" w:eastAsia="仿宋_GB2312" w:cs="仿宋_GB2312"/>
          <w:sz w:val="32"/>
          <w:szCs w:val="32"/>
          <w:highlight w:val="none"/>
        </w:rPr>
        <w:t>。</w:t>
      </w:r>
    </w:p>
    <w:p>
      <w:pPr>
        <w:pageBreakBefore w:val="0"/>
        <w:kinsoku/>
        <w:wordWrap/>
        <w:overflowPunct/>
        <w:topLinePunct w:val="0"/>
        <w:autoSpaceDE w:val="0"/>
        <w:autoSpaceDN w:val="0"/>
        <w:bidi w:val="0"/>
        <w:adjustRightInd w:val="0"/>
        <w:snapToGrid/>
        <w:spacing w:line="520" w:lineRule="exact"/>
        <w:ind w:firstLine="643" w:firstLineChars="200"/>
        <w:textAlignment w:val="auto"/>
        <w:outlineLvl w:val="2"/>
        <w:rPr>
          <w:rFonts w:hint="eastAsia" w:ascii="仿宋_GB2312" w:hAnsi="仿宋_GB2312" w:eastAsia="仿宋_GB2312" w:cs="仿宋_GB2312"/>
          <w:b/>
          <w:bCs/>
          <w:sz w:val="32"/>
          <w:szCs w:val="32"/>
          <w:highlight w:val="none"/>
        </w:rPr>
      </w:pPr>
      <w:bookmarkStart w:id="45" w:name="_Toc3748"/>
      <w:bookmarkStart w:id="46" w:name="_Toc16133"/>
      <w:bookmarkStart w:id="47" w:name="_Toc5411"/>
      <w:bookmarkStart w:id="48" w:name="_Toc10403"/>
      <w:bookmarkStart w:id="49" w:name="_Toc18168"/>
      <w:bookmarkStart w:id="50" w:name="_Toc21644"/>
      <w:r>
        <w:rPr>
          <w:rFonts w:hint="eastAsia" w:ascii="仿宋_GB2312" w:hAnsi="仿宋_GB2312" w:eastAsia="仿宋_GB2312" w:cs="仿宋_GB2312"/>
          <w:b/>
          <w:bCs/>
          <w:sz w:val="32"/>
          <w:szCs w:val="32"/>
          <w:highlight w:val="none"/>
          <w:lang w:val="en-US" w:eastAsia="zh-CN"/>
        </w:rPr>
        <w:t>4.</w:t>
      </w:r>
      <w:r>
        <w:rPr>
          <w:rFonts w:hint="eastAsia" w:ascii="仿宋_GB2312" w:hAnsi="仿宋_GB2312" w:eastAsia="仿宋_GB2312" w:cs="仿宋_GB2312"/>
          <w:b/>
          <w:bCs/>
          <w:sz w:val="32"/>
          <w:szCs w:val="32"/>
          <w:highlight w:val="none"/>
        </w:rPr>
        <w:t>建管并重，长效运行</w:t>
      </w:r>
      <w:bookmarkEnd w:id="45"/>
      <w:bookmarkEnd w:id="46"/>
      <w:bookmarkEnd w:id="47"/>
      <w:bookmarkEnd w:id="48"/>
      <w:bookmarkEnd w:id="49"/>
      <w:bookmarkEnd w:id="50"/>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继续推进第三方单位专业化运维，逐步完善运维管理机制，加强对运维成效的监督与考核。</w:t>
      </w:r>
      <w:r>
        <w:rPr>
          <w:rFonts w:hint="eastAsia" w:ascii="仿宋_GB2312" w:hAnsi="仿宋_GB2312" w:eastAsia="仿宋_GB2312" w:cs="仿宋_GB2312"/>
          <w:sz w:val="32"/>
          <w:szCs w:val="32"/>
          <w:highlight w:val="none"/>
        </w:rPr>
        <w:t>有条件的地区，探索建立污水处理受益农户付费制度和多元化的运行保障机制，确保</w:t>
      </w:r>
      <w:r>
        <w:rPr>
          <w:rFonts w:hint="eastAsia" w:ascii="仿宋_GB2312" w:hAnsi="仿宋_GB2312" w:eastAsia="仿宋_GB2312" w:cs="仿宋_GB2312"/>
          <w:sz w:val="32"/>
          <w:szCs w:val="32"/>
          <w:highlight w:val="none"/>
          <w:lang w:val="en-US" w:eastAsia="zh-CN"/>
        </w:rPr>
        <w:t>可持续成效运行</w:t>
      </w:r>
      <w:r>
        <w:rPr>
          <w:rFonts w:hint="eastAsia" w:ascii="仿宋_GB2312" w:hAnsi="仿宋_GB2312" w:eastAsia="仿宋_GB2312" w:cs="仿宋_GB2312"/>
          <w:sz w:val="32"/>
          <w:szCs w:val="32"/>
          <w:highlight w:val="none"/>
        </w:rPr>
        <w:t>。</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51" w:name="_Toc12053"/>
      <w:bookmarkStart w:id="52" w:name="_Toc24530"/>
      <w:r>
        <w:rPr>
          <w:rFonts w:hint="eastAsia" w:ascii="楷体_GB2312" w:hAnsi="楷体_GB2312" w:eastAsia="楷体_GB2312" w:cs="楷体_GB2312"/>
          <w:b w:val="0"/>
          <w:bCs w:val="0"/>
          <w:sz w:val="32"/>
          <w:szCs w:val="32"/>
          <w:highlight w:val="none"/>
          <w:lang w:val="en-US" w:eastAsia="zh-CN"/>
        </w:rPr>
        <w:t>（五）规划范围</w:t>
      </w:r>
      <w:bookmarkEnd w:id="51"/>
      <w:bookmarkEnd w:id="52"/>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本规划涉及</w:t>
      </w:r>
      <w:r>
        <w:rPr>
          <w:rFonts w:hint="eastAsia" w:ascii="仿宋_GB2312" w:hAnsi="仿宋_GB2312" w:eastAsia="仿宋_GB2312" w:cs="仿宋_GB2312"/>
          <w:sz w:val="32"/>
          <w:szCs w:val="32"/>
          <w:highlight w:val="none"/>
          <w:lang w:val="en-US" w:eastAsia="zh-CN"/>
        </w:rPr>
        <w:t>汕尾市城区</w:t>
      </w:r>
      <w:r>
        <w:rPr>
          <w:rFonts w:hint="eastAsia" w:ascii="仿宋_GB2312" w:hAnsi="仿宋_GB2312" w:eastAsia="仿宋_GB2312" w:cs="仿宋_GB2312"/>
          <w:sz w:val="32"/>
          <w:szCs w:val="32"/>
          <w:highlight w:val="none"/>
        </w:rPr>
        <w:t>下辖</w:t>
      </w:r>
      <w:r>
        <w:rPr>
          <w:rFonts w:hint="eastAsia" w:ascii="仿宋_GB2312" w:hAnsi="仿宋_GB2312" w:eastAsia="仿宋_GB2312" w:cs="仿宋_GB2312"/>
          <w:sz w:val="32"/>
          <w:szCs w:val="32"/>
          <w:highlight w:val="none"/>
          <w:lang w:val="en-US" w:eastAsia="zh-CN"/>
        </w:rPr>
        <w:t>的东涌镇</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红草</w:t>
      </w:r>
      <w:r>
        <w:rPr>
          <w:rFonts w:hint="eastAsia" w:ascii="仿宋_GB2312" w:hAnsi="仿宋_GB2312" w:eastAsia="仿宋_GB2312" w:cs="仿宋_GB2312"/>
          <w:sz w:val="32"/>
          <w:szCs w:val="32"/>
          <w:highlight w:val="none"/>
        </w:rPr>
        <w:t>镇、</w:t>
      </w:r>
      <w:r>
        <w:rPr>
          <w:rFonts w:hint="eastAsia" w:ascii="仿宋_GB2312" w:hAnsi="仿宋_GB2312" w:eastAsia="仿宋_GB2312" w:cs="仿宋_GB2312"/>
          <w:sz w:val="32"/>
          <w:szCs w:val="32"/>
          <w:highlight w:val="none"/>
          <w:lang w:val="en-US" w:eastAsia="zh-CN"/>
        </w:rPr>
        <w:t>捷胜</w:t>
      </w:r>
      <w:r>
        <w:rPr>
          <w:rFonts w:hint="eastAsia" w:ascii="仿宋_GB2312" w:hAnsi="仿宋_GB2312" w:eastAsia="仿宋_GB2312" w:cs="仿宋_GB2312"/>
          <w:sz w:val="32"/>
          <w:szCs w:val="32"/>
          <w:highlight w:val="none"/>
        </w:rPr>
        <w:t>镇、</w:t>
      </w:r>
      <w:r>
        <w:rPr>
          <w:rFonts w:hint="eastAsia" w:ascii="仿宋_GB2312" w:hAnsi="仿宋_GB2312" w:eastAsia="仿宋_GB2312" w:cs="仿宋_GB2312"/>
          <w:sz w:val="32"/>
          <w:szCs w:val="32"/>
          <w:highlight w:val="none"/>
          <w:lang w:val="en-US" w:eastAsia="zh-CN"/>
        </w:rPr>
        <w:t>凤山街道</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马宫街道</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新港街道</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香洲街道一共7</w:t>
      </w:r>
      <w:r>
        <w:rPr>
          <w:rFonts w:hint="eastAsia" w:ascii="仿宋_GB2312" w:hAnsi="仿宋_GB2312" w:eastAsia="仿宋_GB2312" w:cs="仿宋_GB2312"/>
          <w:sz w:val="32"/>
          <w:szCs w:val="32"/>
          <w:highlight w:val="none"/>
        </w:rPr>
        <w:t>个</w:t>
      </w:r>
      <w:r>
        <w:rPr>
          <w:rFonts w:hint="eastAsia" w:ascii="仿宋_GB2312" w:hAnsi="仿宋_GB2312" w:eastAsia="仿宋_GB2312" w:cs="仿宋_GB2312"/>
          <w:sz w:val="32"/>
          <w:szCs w:val="32"/>
          <w:highlight w:val="none"/>
          <w:lang w:val="en-US" w:eastAsia="zh-CN"/>
        </w:rPr>
        <w:t>镇街</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color w:val="000000" w:themeColor="text1"/>
          <w:sz w:val="32"/>
          <w:szCs w:val="32"/>
          <w:highlight w:val="none"/>
          <w14:textFill>
            <w14:solidFill>
              <w14:schemeClr w14:val="tx1"/>
            </w14:solidFill>
          </w14:textFill>
        </w:rPr>
        <w:t>行政村</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59</w:t>
      </w:r>
      <w:r>
        <w:rPr>
          <w:rFonts w:hint="eastAsia" w:ascii="仿宋_GB2312" w:hAnsi="仿宋_GB2312" w:eastAsia="仿宋_GB2312" w:cs="仿宋_GB2312"/>
          <w:color w:val="000000" w:themeColor="text1"/>
          <w:sz w:val="32"/>
          <w:szCs w:val="32"/>
          <w:highlight w:val="none"/>
          <w14:textFill>
            <w14:solidFill>
              <w14:schemeClr w14:val="tx1"/>
            </w14:solidFill>
          </w14:textFill>
        </w:rPr>
        <w:t>个，</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共计有</w:t>
      </w:r>
      <w:r>
        <w:rPr>
          <w:rFonts w:hint="eastAsia" w:ascii="仿宋_GB2312" w:hAnsi="仿宋_GB2312" w:eastAsia="仿宋_GB2312" w:cs="仿宋_GB2312"/>
          <w:color w:val="000000" w:themeColor="text1"/>
          <w:sz w:val="32"/>
          <w:szCs w:val="32"/>
          <w:highlight w:val="none"/>
          <w14:textFill>
            <w14:solidFill>
              <w14:schemeClr w14:val="tx1"/>
            </w14:solidFill>
          </w14:textFill>
        </w:rPr>
        <w:t>自然村</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158</w:t>
      </w:r>
      <w:r>
        <w:rPr>
          <w:rFonts w:hint="eastAsia" w:ascii="仿宋_GB2312" w:hAnsi="仿宋_GB2312" w:eastAsia="仿宋_GB2312" w:cs="仿宋_GB2312"/>
          <w:color w:val="000000" w:themeColor="text1"/>
          <w:sz w:val="32"/>
          <w:szCs w:val="32"/>
          <w:highlight w:val="none"/>
          <w14:textFill>
            <w14:solidFill>
              <w14:schemeClr w14:val="tx1"/>
            </w14:solidFill>
          </w14:textFill>
        </w:rPr>
        <w:t>个。</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rPr>
      </w:pPr>
      <w:bookmarkStart w:id="53" w:name="_Toc11372"/>
      <w:bookmarkStart w:id="54" w:name="_Toc8683"/>
      <w:bookmarkStart w:id="55" w:name="_Toc13698"/>
      <w:bookmarkStart w:id="56" w:name="_Toc16301"/>
      <w:r>
        <w:rPr>
          <w:rFonts w:hint="eastAsia" w:ascii="楷体_GB2312" w:hAnsi="楷体_GB2312" w:eastAsia="楷体_GB2312" w:cs="楷体_GB2312"/>
          <w:b w:val="0"/>
          <w:bCs w:val="0"/>
          <w:sz w:val="32"/>
          <w:szCs w:val="32"/>
          <w:highlight w:val="none"/>
          <w:lang w:eastAsia="zh-CN"/>
        </w:rPr>
        <w:t>（六）</w:t>
      </w:r>
      <w:r>
        <w:rPr>
          <w:rFonts w:hint="eastAsia" w:ascii="楷体_GB2312" w:hAnsi="楷体_GB2312" w:eastAsia="楷体_GB2312" w:cs="楷体_GB2312"/>
          <w:b w:val="0"/>
          <w:bCs w:val="0"/>
          <w:sz w:val="32"/>
          <w:szCs w:val="32"/>
          <w:highlight w:val="none"/>
        </w:rPr>
        <w:t>规划年限</w:t>
      </w:r>
      <w:bookmarkEnd w:id="53"/>
      <w:bookmarkEnd w:id="54"/>
      <w:bookmarkEnd w:id="55"/>
      <w:bookmarkEnd w:id="56"/>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规划</w:t>
      </w:r>
      <w:r>
        <w:rPr>
          <w:rFonts w:hint="eastAsia" w:ascii="仿宋_GB2312" w:hAnsi="仿宋_GB2312" w:eastAsia="仿宋_GB2312" w:cs="仿宋_GB2312"/>
          <w:sz w:val="32"/>
          <w:szCs w:val="32"/>
          <w:highlight w:val="none"/>
        </w:rPr>
        <w:t>基准年</w:t>
      </w:r>
      <w:r>
        <w:rPr>
          <w:rFonts w:hint="eastAsia" w:ascii="仿宋_GB2312" w:hAnsi="仿宋_GB2312" w:eastAsia="仿宋_GB2312" w:cs="仿宋_GB2312"/>
          <w:sz w:val="32"/>
          <w:szCs w:val="32"/>
          <w:highlight w:val="none"/>
          <w:lang w:val="en-US" w:eastAsia="zh-CN"/>
        </w:rPr>
        <w:t>为</w:t>
      </w:r>
      <w:r>
        <w:rPr>
          <w:rFonts w:hint="eastAsia" w:ascii="仿宋_GB2312" w:hAnsi="仿宋_GB2312" w:eastAsia="仿宋_GB2312" w:cs="仿宋_GB2312"/>
          <w:sz w:val="32"/>
          <w:szCs w:val="32"/>
          <w:highlight w:val="none"/>
        </w:rPr>
        <w:t>202</w:t>
      </w:r>
      <w:r>
        <w:rPr>
          <w:rFonts w:hint="eastAsia" w:ascii="仿宋_GB2312" w:hAnsi="仿宋_GB2312" w:eastAsia="仿宋_GB2312" w:cs="仿宋_GB2312"/>
          <w:sz w:val="32"/>
          <w:szCs w:val="32"/>
          <w:highlight w:val="none"/>
          <w:lang w:val="en-US" w:eastAsia="zh-CN"/>
        </w:rPr>
        <w:t>1</w:t>
      </w:r>
      <w:r>
        <w:rPr>
          <w:rFonts w:hint="eastAsia" w:ascii="仿宋_GB2312" w:hAnsi="仿宋_GB2312" w:eastAsia="仿宋_GB2312" w:cs="仿宋_GB2312"/>
          <w:sz w:val="32"/>
          <w:szCs w:val="32"/>
          <w:highlight w:val="none"/>
        </w:rPr>
        <w:t>年，</w:t>
      </w:r>
      <w:r>
        <w:rPr>
          <w:rFonts w:hint="eastAsia" w:ascii="仿宋_GB2312" w:hAnsi="仿宋_GB2312" w:eastAsia="仿宋_GB2312" w:cs="仿宋_GB2312"/>
          <w:sz w:val="32"/>
          <w:szCs w:val="32"/>
          <w:highlight w:val="none"/>
          <w:lang w:val="en-US" w:eastAsia="zh-CN"/>
        </w:rPr>
        <w:t>规划年限为2021至2025年</w:t>
      </w:r>
      <w:r>
        <w:rPr>
          <w:rFonts w:hint="eastAsia" w:ascii="仿宋_GB2312" w:hAnsi="仿宋_GB2312" w:eastAsia="仿宋_GB2312" w:cs="仿宋_GB2312"/>
          <w:sz w:val="32"/>
          <w:szCs w:val="32"/>
          <w:highlight w:val="none"/>
        </w:rPr>
        <w:t>。</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57" w:name="_Toc7907"/>
      <w:bookmarkStart w:id="58" w:name="_Toc8301"/>
      <w:r>
        <w:rPr>
          <w:rFonts w:hint="eastAsia" w:ascii="楷体_GB2312" w:hAnsi="楷体_GB2312" w:eastAsia="楷体_GB2312" w:cs="楷体_GB2312"/>
          <w:b w:val="0"/>
          <w:bCs w:val="0"/>
          <w:sz w:val="32"/>
          <w:szCs w:val="32"/>
          <w:highlight w:val="none"/>
          <w:lang w:val="en-US" w:eastAsia="zh-CN"/>
        </w:rPr>
        <w:t>（七）规划目标</w:t>
      </w:r>
      <w:bookmarkEnd w:id="57"/>
      <w:bookmarkEnd w:id="58"/>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根据</w:t>
      </w:r>
      <w:r>
        <w:rPr>
          <w:rFonts w:hint="eastAsia" w:ascii="仿宋_GB2312" w:hAnsi="仿宋_GB2312" w:eastAsia="仿宋_GB2312" w:cs="仿宋_GB2312"/>
          <w:kern w:val="0"/>
          <w:sz w:val="32"/>
          <w:szCs w:val="32"/>
          <w:highlight w:val="none"/>
          <w:lang w:val="en-US" w:eastAsia="zh-CN" w:bidi="ar-SA"/>
        </w:rPr>
        <w:t>《深化我省农村生活污水治理攻坚行动的指导意见》（粤办函〔2021〕285号）相关</w:t>
      </w:r>
      <w:r>
        <w:rPr>
          <w:rFonts w:hint="eastAsia" w:ascii="仿宋_GB2312" w:hAnsi="仿宋_GB2312" w:eastAsia="仿宋_GB2312" w:cs="仿宋_GB2312"/>
          <w:sz w:val="32"/>
          <w:szCs w:val="32"/>
          <w:highlight w:val="none"/>
        </w:rPr>
        <w:t>要求，坚持问题导向，梯次推进，有序推进全县农村生活污水治理工作。</w:t>
      </w:r>
    </w:p>
    <w:p>
      <w:pPr>
        <w:pStyle w:val="2"/>
        <w:pageBreakBefore w:val="0"/>
        <w:kinsoku/>
        <w:wordWrap/>
        <w:overflowPunct/>
        <w:topLinePunct w:val="0"/>
        <w:bidi w:val="0"/>
        <w:snapToGrid/>
        <w:spacing w:after="0" w:line="520" w:lineRule="exact"/>
        <w:ind w:left="0" w:leftChars="0" w:firstLine="562"/>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1.三年攻坚，全面提升污水治理率</w:t>
      </w:r>
    </w:p>
    <w:p>
      <w:pPr>
        <w:pStyle w:val="2"/>
        <w:pageBreakBefore w:val="0"/>
        <w:kinsoku/>
        <w:wordWrap/>
        <w:overflowPunct/>
        <w:topLinePunct w:val="0"/>
        <w:bidi w:val="0"/>
        <w:snapToGrid/>
        <w:spacing w:after="0" w:line="520" w:lineRule="exact"/>
        <w:ind w:left="0" w:leftChars="0" w:firstLine="56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lang w:val="en-US" w:eastAsia="zh-CN"/>
        </w:rPr>
        <w:t>到2021年底前，重点完成纳入民生实事的自然村，对城区内的农村生活污水现状开展全面摸排。</w:t>
      </w:r>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到</w:t>
      </w:r>
      <w:r>
        <w:rPr>
          <w:rFonts w:hint="eastAsia" w:ascii="仿宋_GB2312" w:hAnsi="仿宋_GB2312" w:eastAsia="仿宋_GB2312" w:cs="仿宋_GB2312"/>
          <w:sz w:val="32"/>
          <w:szCs w:val="32"/>
          <w:highlight w:val="none"/>
        </w:rPr>
        <w:t>2022年底</w:t>
      </w:r>
      <w:r>
        <w:rPr>
          <w:rFonts w:hint="eastAsia" w:ascii="仿宋_GB2312" w:hAnsi="仿宋_GB2312" w:eastAsia="仿宋_GB2312" w:cs="仿宋_GB2312"/>
          <w:sz w:val="32"/>
          <w:szCs w:val="32"/>
          <w:highlight w:val="none"/>
          <w:lang w:val="en-US" w:eastAsia="zh-CN"/>
        </w:rPr>
        <w:t>前</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基本完成老旧设施及管网提升改造，农村生活污水治理率达到80％以上。</w:t>
      </w:r>
    </w:p>
    <w:p>
      <w:pPr>
        <w:pStyle w:val="2"/>
        <w:pageBreakBefore w:val="0"/>
        <w:kinsoku/>
        <w:wordWrap/>
        <w:overflowPunct/>
        <w:topLinePunct w:val="0"/>
        <w:bidi w:val="0"/>
        <w:snapToGrid/>
        <w:spacing w:after="0" w:line="520" w:lineRule="exact"/>
        <w:ind w:left="0" w:leftChars="0" w:firstLine="560" w:firstLineChars="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到2023年底，全面完成158个自然村的农村生活污水治理工作，治理率力争达到95%以上。</w:t>
      </w:r>
    </w:p>
    <w:p>
      <w:pPr>
        <w:pStyle w:val="2"/>
        <w:pageBreakBefore w:val="0"/>
        <w:kinsoku/>
        <w:wordWrap/>
        <w:overflowPunct/>
        <w:topLinePunct w:val="0"/>
        <w:bidi w:val="0"/>
        <w:snapToGrid/>
        <w:spacing w:after="0"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2.两年巩固，充分保障有效运行率</w:t>
      </w:r>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到2025年底前，查漏补缺，全面做到应接尽接，应收尽收，应治尽治，全区农村生活污水治理率达到100%，设施有效运行率达到95%以上，</w:t>
      </w:r>
      <w:r>
        <w:rPr>
          <w:rFonts w:hint="eastAsia" w:ascii="仿宋_GB2312" w:hAnsi="仿宋_GB2312" w:eastAsia="仿宋_GB2312" w:cs="仿宋_GB2312"/>
          <w:sz w:val="32"/>
          <w:szCs w:val="32"/>
          <w:highlight w:val="none"/>
        </w:rPr>
        <w:t>群众满意度达到</w:t>
      </w:r>
      <w:r>
        <w:rPr>
          <w:rFonts w:hint="eastAsia" w:ascii="仿宋_GB2312" w:hAnsi="仿宋_GB2312" w:eastAsia="仿宋_GB2312" w:cs="仿宋_GB2312"/>
          <w:sz w:val="32"/>
          <w:szCs w:val="32"/>
          <w:highlight w:val="none"/>
          <w:lang w:val="en-US" w:eastAsia="zh-CN"/>
        </w:rPr>
        <w:t>80</w:t>
      </w:r>
      <w:r>
        <w:rPr>
          <w:rFonts w:hint="eastAsia" w:ascii="仿宋_GB2312" w:hAnsi="仿宋_GB2312" w:eastAsia="仿宋_GB2312" w:cs="仿宋_GB2312"/>
          <w:sz w:val="32"/>
          <w:szCs w:val="32"/>
          <w:highlight w:val="none"/>
        </w:rPr>
        <w:t>%以上。</w:t>
      </w:r>
      <w:bookmarkStart w:id="59" w:name="_Toc17060"/>
      <w:bookmarkStart w:id="60" w:name="_Toc10680"/>
    </w:p>
    <w:p>
      <w:pPr>
        <w:pageBreakBefore w:val="0"/>
        <w:kinsoku/>
        <w:wordWrap/>
        <w:overflowPunct/>
        <w:topLinePunct w:val="0"/>
        <w:bidi w:val="0"/>
        <w:snapToGrid/>
        <w:spacing w:line="520" w:lineRule="exact"/>
        <w:ind w:firstLine="640" w:firstLineChars="200"/>
        <w:textAlignment w:val="auto"/>
        <w:rPr>
          <w:rFonts w:hint="eastAsia" w:ascii="黑体" w:hAnsi="黑体" w:eastAsia="黑体" w:cs="黑体"/>
          <w:sz w:val="32"/>
          <w:szCs w:val="32"/>
          <w:highlight w:val="none"/>
          <w:lang w:val="en-US" w:eastAsia="zh-CN"/>
        </w:rPr>
      </w:pPr>
      <w:r>
        <w:rPr>
          <w:rFonts w:hint="eastAsia" w:ascii="黑体" w:hAnsi="黑体" w:eastAsia="黑体" w:cs="黑体"/>
          <w:sz w:val="32"/>
          <w:szCs w:val="32"/>
          <w:highlight w:val="none"/>
          <w:lang w:val="en-US" w:eastAsia="zh-CN"/>
        </w:rPr>
        <w:t>二、区域概况</w:t>
      </w:r>
      <w:bookmarkEnd w:id="59"/>
      <w:bookmarkEnd w:id="60"/>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61" w:name="_Toc32144"/>
      <w:bookmarkStart w:id="62" w:name="_Toc2295"/>
      <w:bookmarkStart w:id="63" w:name="_Toc15739"/>
      <w:bookmarkStart w:id="64" w:name="_Toc32325"/>
      <w:r>
        <w:rPr>
          <w:rFonts w:hint="eastAsia" w:ascii="楷体_GB2312" w:hAnsi="楷体_GB2312" w:eastAsia="楷体_GB2312" w:cs="楷体_GB2312"/>
          <w:b w:val="0"/>
          <w:bCs w:val="0"/>
          <w:sz w:val="32"/>
          <w:szCs w:val="32"/>
          <w:highlight w:val="none"/>
          <w:lang w:val="en-US" w:eastAsia="zh-CN"/>
        </w:rPr>
        <w:t>（一）自然概况</w:t>
      </w:r>
      <w:bookmarkEnd w:id="61"/>
      <w:bookmarkEnd w:id="62"/>
      <w:bookmarkEnd w:id="63"/>
      <w:bookmarkEnd w:id="64"/>
    </w:p>
    <w:p>
      <w:pPr>
        <w:pStyle w:val="6"/>
        <w:keepNext/>
        <w:keepLines/>
        <w:pageBreakBefore w:val="0"/>
        <w:widowControl w:val="0"/>
        <w:kinsoku/>
        <w:wordWrap/>
        <w:overflowPunct/>
        <w:topLinePunct w:val="0"/>
        <w:autoSpaceDE/>
        <w:autoSpaceDN/>
        <w:bidi w:val="0"/>
        <w:adjustRightInd/>
        <w:snapToGrid/>
        <w:spacing w:before="0" w:after="0" w:line="520" w:lineRule="exact"/>
        <w:textAlignment w:val="auto"/>
        <w:rPr>
          <w:rFonts w:hint="eastAsia" w:ascii="仿宋_GB2312" w:hAnsi="仿宋_GB2312" w:eastAsia="仿宋_GB2312" w:cs="仿宋_GB2312"/>
          <w:sz w:val="32"/>
          <w:szCs w:val="32"/>
          <w:highlight w:val="none"/>
        </w:rPr>
      </w:pPr>
      <w:bookmarkStart w:id="65" w:name="_Toc6717"/>
      <w:bookmarkStart w:id="66" w:name="_Toc11950"/>
      <w:bookmarkStart w:id="67" w:name="_Toc5277"/>
      <w:r>
        <w:rPr>
          <w:rFonts w:hint="eastAsia" w:ascii="仿宋_GB2312" w:hAnsi="仿宋_GB2312" w:eastAsia="仿宋_GB2312" w:cs="仿宋_GB2312"/>
          <w:sz w:val="32"/>
          <w:szCs w:val="32"/>
          <w:highlight w:val="none"/>
          <w:lang w:eastAsia="zh-CN"/>
        </w:rPr>
        <w:t>　　</w:t>
      </w:r>
      <w:bookmarkStart w:id="68" w:name="_Toc17156"/>
      <w:r>
        <w:rPr>
          <w:rFonts w:hint="eastAsia" w:ascii="仿宋_GB2312" w:hAnsi="仿宋_GB2312" w:eastAsia="仿宋_GB2312" w:cs="仿宋_GB2312"/>
          <w:sz w:val="32"/>
          <w:szCs w:val="32"/>
          <w:highlight w:val="none"/>
          <w:lang w:val="en-US" w:eastAsia="zh-CN"/>
        </w:rPr>
        <w:t>1.</w:t>
      </w:r>
      <w:r>
        <w:rPr>
          <w:rFonts w:hint="eastAsia" w:ascii="仿宋_GB2312" w:hAnsi="仿宋_GB2312" w:eastAsia="仿宋_GB2312" w:cs="仿宋_GB2312"/>
          <w:sz w:val="32"/>
          <w:szCs w:val="32"/>
          <w:highlight w:val="none"/>
        </w:rPr>
        <w:t>地理位置</w:t>
      </w:r>
      <w:bookmarkEnd w:id="65"/>
      <w:bookmarkEnd w:id="66"/>
      <w:bookmarkEnd w:id="67"/>
      <w:bookmarkEnd w:id="68"/>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rPr>
        <w:t>汕尾市城区位于广东省东南沿海，东经115°10'-115°37'，北纬20°36'-22°54'。东临碣石湾与</w:t>
      </w:r>
      <w:r>
        <w:rPr>
          <w:rFonts w:hint="eastAsia" w:ascii="仿宋_GB2312" w:hAnsi="仿宋_GB2312" w:eastAsia="仿宋_GB2312" w:cs="仿宋_GB2312"/>
          <w:sz w:val="32"/>
          <w:szCs w:val="32"/>
          <w:highlight w:val="none"/>
          <w:lang w:eastAsia="zh-CN"/>
        </w:rPr>
        <w:t>城区</w:t>
      </w:r>
      <w:r>
        <w:rPr>
          <w:rFonts w:hint="eastAsia" w:ascii="仿宋_GB2312" w:hAnsi="仿宋_GB2312" w:eastAsia="仿宋_GB2312" w:cs="仿宋_GB2312"/>
          <w:sz w:val="32"/>
          <w:szCs w:val="32"/>
          <w:highlight w:val="none"/>
        </w:rPr>
        <w:t>金厢相望，北与海丰县接壤</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西隔丽江与深汕特别合作区鲘门对望，南濒红海湾。现辖3个镇、4个街道，总面积302.11平方千米。城区陆路东距汕头160公里，西距深圳120公里，水路距</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"https://baike.baidu.com/item/%E9%A6%99%E6%B8%AF/128775" \t "https://baike.baidu.com/item/%E5%9F%8E%E5%8C%BA/_blank"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香港</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81海里，接壤太平洋国际航线，是连接</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"https://baike.baidu.com/item/%E7%B2%A4%E4%B8%9C/7134417" \t "https://baike.baidu.com/item/%E5%9F%8E%E5%8C%BA/_blank"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粤东</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"https://baike.baidu.com/item/%E7%8F%A0%E4%B8%89%E8%A7%92/5140424" \t "https://baike.baidu.com/item/%E5%9F%8E%E5%8C%BA/_blank"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珠三角</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与港澳的重要通道，是粤东沿海地区重要的中心城市之一</w:t>
      </w:r>
      <w:r>
        <w:rPr>
          <w:rFonts w:hint="eastAsia" w:ascii="仿宋_GB2312" w:hAnsi="仿宋_GB2312" w:eastAsia="仿宋_GB2312" w:cs="仿宋_GB2312"/>
          <w:sz w:val="32"/>
          <w:szCs w:val="32"/>
          <w:highlight w:val="none"/>
          <w:lang w:eastAsia="zh-CN"/>
        </w:rPr>
        <w:t>。</w:t>
      </w:r>
    </w:p>
    <w:p>
      <w:pPr>
        <w:pStyle w:val="9"/>
        <w:jc w:val="center"/>
        <w:rPr>
          <w:rFonts w:hint="default" w:ascii="Times New Roman" w:hAnsi="Times New Roman" w:eastAsia="宋体" w:cs="Times New Roman"/>
          <w:sz w:val="28"/>
          <w:szCs w:val="28"/>
          <w:highlight w:val="none"/>
        </w:rPr>
      </w:pPr>
      <w:r>
        <w:drawing>
          <wp:inline distT="0" distB="0" distL="114300" distR="114300">
            <wp:extent cx="5268595" cy="3616960"/>
            <wp:effectExtent l="0" t="0" r="8255" b="2540"/>
            <wp:docPr id="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true"/>
                    </pic:cNvPicPr>
                  </pic:nvPicPr>
                  <pic:blipFill>
                    <a:blip r:embed="rId5"/>
                    <a:stretch>
                      <a:fillRect/>
                    </a:stretch>
                  </pic:blipFill>
                  <pic:spPr>
                    <a:xfrm>
                      <a:off x="0" y="0"/>
                      <a:ext cx="5268595" cy="3616960"/>
                    </a:xfrm>
                    <a:prstGeom prst="rect">
                      <a:avLst/>
                    </a:prstGeom>
                    <a:noFill/>
                    <a:ln>
                      <a:noFill/>
                    </a:ln>
                  </pic:spPr>
                </pic:pic>
              </a:graphicData>
            </a:graphic>
          </wp:inline>
        </w:drawing>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 xml:space="preserve">图2-1 </w:t>
      </w:r>
      <w:r>
        <w:rPr>
          <w:rFonts w:hint="eastAsia" w:ascii="仿宋_GB2312" w:hAnsi="仿宋_GB2312" w:eastAsia="仿宋_GB2312" w:cs="仿宋_GB2312"/>
          <w:b/>
          <w:bCs/>
          <w:sz w:val="32"/>
          <w:szCs w:val="32"/>
          <w:highlight w:val="none"/>
          <w:lang w:val="en-US" w:eastAsia="zh-CN"/>
        </w:rPr>
        <w:t>汕尾市城区</w:t>
      </w:r>
      <w:r>
        <w:rPr>
          <w:rFonts w:hint="eastAsia" w:ascii="仿宋_GB2312" w:hAnsi="仿宋_GB2312" w:eastAsia="仿宋_GB2312" w:cs="仿宋_GB2312"/>
          <w:b/>
          <w:bCs/>
          <w:sz w:val="32"/>
          <w:szCs w:val="32"/>
          <w:highlight w:val="none"/>
        </w:rPr>
        <w:t>地理位置图</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69" w:name="_Toc24277"/>
      <w:bookmarkStart w:id="70" w:name="_Toc2664"/>
      <w:bookmarkStart w:id="71" w:name="_Toc20185"/>
      <w:bookmarkStart w:id="72" w:name="_Toc12946"/>
      <w:r>
        <w:rPr>
          <w:rFonts w:hint="eastAsia" w:ascii="仿宋_GB2312" w:hAnsi="仿宋_GB2312" w:eastAsia="仿宋_GB2312" w:cs="仿宋_GB2312"/>
          <w:sz w:val="32"/>
          <w:szCs w:val="32"/>
          <w:highlight w:val="none"/>
          <w:lang w:val="en-US" w:eastAsia="zh-CN"/>
        </w:rPr>
        <w:t>2.</w:t>
      </w:r>
      <w:r>
        <w:rPr>
          <w:rFonts w:hint="eastAsia" w:ascii="仿宋_GB2312" w:hAnsi="仿宋_GB2312" w:eastAsia="仿宋_GB2312" w:cs="仿宋_GB2312"/>
          <w:sz w:val="32"/>
          <w:szCs w:val="32"/>
          <w:highlight w:val="none"/>
        </w:rPr>
        <w:t>地质、地形和地貌</w:t>
      </w:r>
      <w:bookmarkEnd w:id="69"/>
      <w:bookmarkEnd w:id="70"/>
      <w:bookmarkEnd w:id="71"/>
      <w:bookmarkEnd w:id="72"/>
    </w:p>
    <w:p>
      <w:pPr>
        <w:pageBreakBefore w:val="0"/>
        <w:widowControl/>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汕尾市位于广东省粤东沿海，由于历次地壳运动褶皱、断裂和火山隆起的影响，造成了山地、丘陵、台地、平原兼有的复杂地形地貌。粤东沿海莲花山深断裂带及汕头—惠来等断裂带范围的河田断裂、新田断裂、公平断裂、海丰断裂、陆丰断裂等形成螺河、黄江两大水系，以及水东河、龙潭河、乌砍河、赤石河、鳌江、湖东水、南溪、红草水等流域。总体地形北高南低，地貌由山地丘陵向平原逐渐过渡。北部为山丘地，峰峦重迭，千米以上高山有23座，最高峰是</w:t>
      </w:r>
      <w:r>
        <w:rPr>
          <w:rFonts w:hint="eastAsia" w:ascii="仿宋_GB2312" w:hAnsi="仿宋_GB2312" w:eastAsia="仿宋_GB2312" w:cs="仿宋_GB2312"/>
          <w:sz w:val="32"/>
          <w:szCs w:val="32"/>
          <w:highlight w:val="none"/>
          <w:lang w:eastAsia="zh-CN"/>
        </w:rPr>
        <w:t>海拔</w:t>
      </w:r>
      <w:r>
        <w:rPr>
          <w:rFonts w:hint="eastAsia" w:ascii="仿宋_GB2312" w:hAnsi="仿宋_GB2312" w:eastAsia="仿宋_GB2312" w:cs="仿宋_GB2312"/>
          <w:sz w:val="32"/>
          <w:szCs w:val="32"/>
          <w:highlight w:val="none"/>
        </w:rPr>
        <w:t>1337m的莲花峰，螺河及黄江源头一带海拔千米以上的山峰主要有：三神凸、七星岽、圆山岽、坪田凸、乌凸、五马归槽等；中部多丘陵、台地；南部沿海多台地、平原。东南沿海一般海拔2～20m，最低海拔</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1m。河口、沿海多滩涂，总面积约60万亩。全市海岸线总长455km，其中海丰县125km，城区140km，</w:t>
      </w:r>
      <w:r>
        <w:rPr>
          <w:rFonts w:hint="eastAsia" w:ascii="仿宋_GB2312" w:hAnsi="仿宋_GB2312" w:eastAsia="仿宋_GB2312" w:cs="仿宋_GB2312"/>
          <w:sz w:val="32"/>
          <w:szCs w:val="32"/>
          <w:highlight w:val="none"/>
          <w:lang w:eastAsia="zh-CN"/>
        </w:rPr>
        <w:t>城区</w:t>
      </w:r>
      <w:r>
        <w:rPr>
          <w:rFonts w:hint="eastAsia" w:ascii="仿宋_GB2312" w:hAnsi="仿宋_GB2312" w:eastAsia="仿宋_GB2312" w:cs="仿宋_GB2312"/>
          <w:sz w:val="32"/>
          <w:szCs w:val="32"/>
          <w:highlight w:val="none"/>
        </w:rPr>
        <w:t>190km。有岛屿91个，港口10 个，海湖3个，海岛面积3.2km</w:t>
      </w:r>
      <w:r>
        <w:rPr>
          <w:rFonts w:hint="eastAsia" w:ascii="仿宋_GB2312" w:hAnsi="仿宋_GB2312" w:eastAsia="仿宋_GB2312" w:cs="仿宋_GB2312"/>
          <w:sz w:val="32"/>
          <w:szCs w:val="32"/>
          <w:highlight w:val="none"/>
          <w:vertAlign w:val="superscript"/>
        </w:rPr>
        <w:t>2</w:t>
      </w:r>
      <w:r>
        <w:rPr>
          <w:rFonts w:hint="eastAsia" w:ascii="仿宋_GB2312" w:hAnsi="仿宋_GB2312" w:eastAsia="仿宋_GB2312" w:cs="仿宋_GB2312"/>
          <w:sz w:val="32"/>
          <w:szCs w:val="32"/>
          <w:highlight w:val="none"/>
        </w:rPr>
        <w:t>，岛岸线长42.9km，两大海湾</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红海湾、碣石湾</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内的海域面积约1500km</w:t>
      </w:r>
      <w:r>
        <w:rPr>
          <w:rFonts w:hint="eastAsia" w:ascii="仿宋_GB2312" w:hAnsi="仿宋_GB2312" w:eastAsia="仿宋_GB2312" w:cs="仿宋_GB2312"/>
          <w:sz w:val="32"/>
          <w:szCs w:val="32"/>
          <w:highlight w:val="none"/>
          <w:vertAlign w:val="superscript"/>
        </w:rPr>
        <w:t>2</w:t>
      </w:r>
      <w:r>
        <w:rPr>
          <w:rFonts w:hint="eastAsia" w:ascii="仿宋_GB2312" w:hAnsi="仿宋_GB2312" w:eastAsia="仿宋_GB2312" w:cs="仿宋_GB2312"/>
          <w:sz w:val="32"/>
          <w:szCs w:val="32"/>
          <w:highlight w:val="none"/>
        </w:rPr>
        <w:t>。</w:t>
      </w:r>
    </w:p>
    <w:p>
      <w:pPr>
        <w:pStyle w:val="6"/>
        <w:keepNext/>
        <w:keepLines/>
        <w:pageBreakBefore w:val="0"/>
        <w:widowControl w:val="0"/>
        <w:kinsoku/>
        <w:wordWrap/>
        <w:overflowPunct/>
        <w:topLinePunct w:val="0"/>
        <w:autoSpaceDE/>
        <w:autoSpaceDN/>
        <w:bidi w:val="0"/>
        <w:adjustRightInd/>
        <w:snapToGrid/>
        <w:spacing w:before="0" w:after="0" w:line="520" w:lineRule="exact"/>
        <w:textAlignment w:val="auto"/>
        <w:rPr>
          <w:rFonts w:hint="eastAsia" w:ascii="仿宋_GB2312" w:hAnsi="仿宋_GB2312" w:eastAsia="仿宋_GB2312" w:cs="仿宋_GB2312"/>
          <w:sz w:val="32"/>
          <w:szCs w:val="32"/>
          <w:highlight w:val="none"/>
        </w:rPr>
      </w:pPr>
      <w:bookmarkStart w:id="73" w:name="_Toc24608"/>
      <w:bookmarkStart w:id="74" w:name="_Toc20001"/>
      <w:bookmarkStart w:id="75" w:name="_Toc595"/>
      <w:r>
        <w:rPr>
          <w:rFonts w:hint="eastAsia" w:ascii="仿宋_GB2312" w:hAnsi="仿宋_GB2312" w:eastAsia="仿宋_GB2312" w:cs="仿宋_GB2312"/>
          <w:sz w:val="32"/>
          <w:szCs w:val="32"/>
          <w:highlight w:val="none"/>
          <w:lang w:eastAsia="zh-CN"/>
        </w:rPr>
        <w:t>　　</w:t>
      </w:r>
      <w:bookmarkStart w:id="76" w:name="_Toc31860"/>
      <w:r>
        <w:rPr>
          <w:rFonts w:hint="eastAsia" w:ascii="仿宋_GB2312" w:hAnsi="仿宋_GB2312" w:eastAsia="仿宋_GB2312" w:cs="仿宋_GB2312"/>
          <w:sz w:val="32"/>
          <w:szCs w:val="32"/>
          <w:highlight w:val="none"/>
          <w:lang w:val="en-US" w:eastAsia="zh-CN"/>
        </w:rPr>
        <w:t>3.</w:t>
      </w:r>
      <w:r>
        <w:rPr>
          <w:rFonts w:hint="eastAsia" w:ascii="仿宋_GB2312" w:hAnsi="仿宋_GB2312" w:eastAsia="仿宋_GB2312" w:cs="仿宋_GB2312"/>
          <w:sz w:val="32"/>
          <w:szCs w:val="32"/>
          <w:highlight w:val="none"/>
        </w:rPr>
        <w:t>气候条件</w:t>
      </w:r>
      <w:bookmarkEnd w:id="73"/>
      <w:bookmarkEnd w:id="74"/>
      <w:bookmarkEnd w:id="75"/>
      <w:bookmarkEnd w:id="76"/>
    </w:p>
    <w:p>
      <w:pPr>
        <w:pageBreakBefore w:val="0"/>
        <w:widowControl/>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汕尾市城区全区属亚热带海洋性气候，光、热、水资源丰富。其主要气候特点是：气候温暖，雨量充沛，雨热同季，光照充足；冬不寒冷，夏不酷热，夏长冬短，春早秋迟；秋冬春旱，常有发生，夏涝风灾，危害较重。多年年平均气温为21.1℃，年最高气温38.5℃，最低气温1.6℃；最高日降雨量475.7mm，年平均降雨量1029.6mm。</w:t>
      </w:r>
    </w:p>
    <w:p>
      <w:pPr>
        <w:pStyle w:val="6"/>
        <w:keepNext/>
        <w:keepLines/>
        <w:pageBreakBefore w:val="0"/>
        <w:widowControl w:val="0"/>
        <w:kinsoku/>
        <w:wordWrap/>
        <w:overflowPunct/>
        <w:topLinePunct w:val="0"/>
        <w:autoSpaceDE/>
        <w:autoSpaceDN/>
        <w:bidi w:val="0"/>
        <w:adjustRightInd/>
        <w:snapToGrid/>
        <w:spacing w:before="0" w:after="0" w:line="520" w:lineRule="exact"/>
        <w:textAlignment w:val="auto"/>
        <w:rPr>
          <w:rFonts w:hint="eastAsia" w:ascii="仿宋_GB2312" w:hAnsi="仿宋_GB2312" w:eastAsia="仿宋_GB2312" w:cs="仿宋_GB2312"/>
          <w:sz w:val="32"/>
          <w:szCs w:val="32"/>
          <w:highlight w:val="none"/>
        </w:rPr>
      </w:pPr>
      <w:bookmarkStart w:id="77" w:name="_Toc25136"/>
      <w:bookmarkStart w:id="78" w:name="_Toc32671"/>
      <w:bookmarkStart w:id="79" w:name="_Toc5152"/>
      <w:r>
        <w:rPr>
          <w:rFonts w:hint="eastAsia" w:ascii="仿宋_GB2312" w:hAnsi="仿宋_GB2312" w:eastAsia="仿宋_GB2312" w:cs="仿宋_GB2312"/>
          <w:sz w:val="32"/>
          <w:szCs w:val="32"/>
          <w:highlight w:val="none"/>
          <w:lang w:eastAsia="zh-CN"/>
        </w:rPr>
        <w:t>　　</w:t>
      </w:r>
      <w:bookmarkStart w:id="80" w:name="_Toc8024"/>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河流水系</w:t>
      </w:r>
      <w:bookmarkEnd w:id="77"/>
      <w:bookmarkEnd w:id="78"/>
      <w:bookmarkEnd w:id="79"/>
      <w:bookmarkEnd w:id="80"/>
    </w:p>
    <w:p>
      <w:pPr>
        <w:pStyle w:val="9"/>
        <w:pageBreakBefore w:val="0"/>
        <w:kinsoku/>
        <w:wordWrap/>
        <w:overflowPunct/>
        <w:topLinePunct w:val="0"/>
        <w:autoSpaceDE/>
        <w:autoSpaceDN/>
        <w:bidi w:val="0"/>
        <w:snapToGrid/>
        <w:spacing w:line="52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根据城区河流名录表，汕尾市城区主要河流为黄江城区段、奎山河、黄江河支流（含五雅河、铜鼎山河、尖山河、猫溪河、乌石港河以及水好坑河）、品清湖河（含合山门河、尾兰坑河、东涌河、东围排洪渠、赤古河、苦沟河、宝楼河、马草湖河）、前进河（含前进河、南排洪河、牛肚河、大路坑河、北排洪河、龙潭河、东坑河、马铃山河）、赤岭河、芦列坑河、梧桐坑河、西洋河、下洋河、后径河、大华河、新港河、埔尾河、流口河、新村河、白水蔗河、红坑河、陶河排洪渠、引西排灌渠、沙坑河、马宫河（含金町河、鸡笼山河以及四清河）、东径门河、鸡母巢河、浪清河以及蛇地笼河，共 26 条河流（水系）。其中</w:t>
      </w:r>
      <w:r>
        <w:rPr>
          <w:rFonts w:hint="eastAsia" w:ascii="仿宋_GB2312" w:hAnsi="仿宋_GB2312" w:eastAsia="仿宋_GB2312" w:cs="仿宋_GB2312"/>
          <w:sz w:val="32"/>
          <w:szCs w:val="32"/>
          <w:highlight w:val="none"/>
          <w:lang w:val="en-US" w:eastAsia="zh-CN"/>
        </w:rPr>
        <w:t>市级河流仅有黄江一条。</w:t>
      </w:r>
    </w:p>
    <w:p>
      <w:pPr>
        <w:pStyle w:val="9"/>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黄江是汕尾市流域面积最大的河流，集雨面积1121km</w:t>
      </w:r>
      <w:r>
        <w:rPr>
          <w:rFonts w:hint="eastAsia" w:ascii="仿宋_GB2312" w:hAnsi="仿宋_GB2312" w:eastAsia="仿宋_GB2312" w:cs="仿宋_GB2312"/>
          <w:sz w:val="32"/>
          <w:szCs w:val="32"/>
          <w:highlight w:val="none"/>
          <w:vertAlign w:val="superscript"/>
        </w:rPr>
        <w:t>2</w:t>
      </w:r>
      <w:r>
        <w:rPr>
          <w:rFonts w:hint="eastAsia" w:ascii="仿宋_GB2312" w:hAnsi="仿宋_GB2312" w:eastAsia="仿宋_GB2312" w:cs="仿宋_GB2312"/>
          <w:sz w:val="32"/>
          <w:szCs w:val="32"/>
          <w:highlight w:val="none"/>
        </w:rPr>
        <w:t>（不含东溪河流域，其中1117km</w:t>
      </w:r>
      <w:r>
        <w:rPr>
          <w:rFonts w:hint="eastAsia" w:ascii="仿宋_GB2312" w:hAnsi="仿宋_GB2312" w:eastAsia="仿宋_GB2312" w:cs="仿宋_GB2312"/>
          <w:sz w:val="32"/>
          <w:szCs w:val="32"/>
          <w:highlight w:val="none"/>
          <w:vertAlign w:val="superscript"/>
        </w:rPr>
        <w:t>2</w:t>
      </w:r>
      <w:r>
        <w:rPr>
          <w:rFonts w:hint="eastAsia" w:ascii="仿宋_GB2312" w:hAnsi="仿宋_GB2312" w:eastAsia="仿宋_GB2312" w:cs="仿宋_GB2312"/>
          <w:sz w:val="32"/>
          <w:szCs w:val="32"/>
          <w:highlight w:val="none"/>
        </w:rPr>
        <w:t>在境内），属于粤东沿海诸河，发源于五马归槽的蜡烛山（海拔1054.4m</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1970年代汕尾大规模围海造田，把黄江口至马宫盐屿的长沙湾滩涂围成一条出口宽仅200m的河道（长沙湾水道），成为黄江干流的延伸部分，使龙津河、大液河、虎头沟等独流入海的河流成为黄江水系。黄江流域可耕地56万亩，其中水田24万亩。历史最大流量3500m</w:t>
      </w:r>
      <w:r>
        <w:rPr>
          <w:rFonts w:hint="eastAsia" w:ascii="仿宋_GB2312" w:hAnsi="仿宋_GB2312" w:eastAsia="仿宋_GB2312" w:cs="仿宋_GB2312"/>
          <w:sz w:val="32"/>
          <w:szCs w:val="32"/>
          <w:highlight w:val="none"/>
          <w:vertAlign w:val="superscript"/>
        </w:rPr>
        <w:t>3</w:t>
      </w:r>
      <w:r>
        <w:rPr>
          <w:rFonts w:hint="eastAsia" w:ascii="仿宋_GB2312" w:hAnsi="仿宋_GB2312" w:eastAsia="仿宋_GB2312" w:cs="仿宋_GB2312"/>
          <w:sz w:val="32"/>
          <w:szCs w:val="32"/>
          <w:highlight w:val="none"/>
        </w:rPr>
        <w:t>/s（1957年）；最枯流量0.8m</w:t>
      </w:r>
      <w:r>
        <w:rPr>
          <w:rFonts w:hint="eastAsia" w:ascii="仿宋_GB2312" w:hAnsi="仿宋_GB2312" w:eastAsia="仿宋_GB2312" w:cs="仿宋_GB2312"/>
          <w:sz w:val="32"/>
          <w:szCs w:val="32"/>
          <w:highlight w:val="none"/>
          <w:vertAlign w:val="superscript"/>
        </w:rPr>
        <w:t>3</w:t>
      </w:r>
      <w:r>
        <w:rPr>
          <w:rFonts w:hint="eastAsia" w:ascii="仿宋_GB2312" w:hAnsi="仿宋_GB2312" w:eastAsia="仿宋_GB2312" w:cs="仿宋_GB2312"/>
          <w:sz w:val="32"/>
          <w:szCs w:val="32"/>
          <w:highlight w:val="none"/>
        </w:rPr>
        <w:t>/s（1963年）。水电理论蕴藏3.6万千瓦，可开发量2.0万千瓦。多年平均径流量20.4亿m</w:t>
      </w:r>
      <w:r>
        <w:rPr>
          <w:rFonts w:hint="eastAsia" w:ascii="仿宋_GB2312" w:hAnsi="仿宋_GB2312" w:eastAsia="仿宋_GB2312" w:cs="仿宋_GB2312"/>
          <w:sz w:val="32"/>
          <w:szCs w:val="32"/>
          <w:highlight w:val="none"/>
          <w:vertAlign w:val="superscript"/>
        </w:rPr>
        <w:t>3</w:t>
      </w:r>
      <w:r>
        <w:rPr>
          <w:rFonts w:hint="eastAsia" w:ascii="仿宋_GB2312" w:hAnsi="仿宋_GB2312" w:eastAsia="仿宋_GB2312" w:cs="仿宋_GB2312"/>
          <w:sz w:val="32"/>
          <w:szCs w:val="32"/>
          <w:highlight w:val="none"/>
        </w:rPr>
        <w:t>。本流域已建成蓄水工程50宗，其中大型1宗，中型10宗，小一型7宗，小二型32宗；大型水闸3宗，中型水闸7宗；以及灌区、堤围、引水工程等一大批工程。水库控制集雨面积501km</w:t>
      </w:r>
      <w:r>
        <w:rPr>
          <w:rFonts w:hint="eastAsia" w:ascii="仿宋_GB2312" w:hAnsi="仿宋_GB2312" w:eastAsia="仿宋_GB2312" w:cs="仿宋_GB2312"/>
          <w:sz w:val="32"/>
          <w:szCs w:val="32"/>
          <w:highlight w:val="none"/>
          <w:vertAlign w:val="superscript"/>
        </w:rPr>
        <w:t>2</w:t>
      </w:r>
      <w:r>
        <w:rPr>
          <w:rFonts w:hint="eastAsia" w:ascii="仿宋_GB2312" w:hAnsi="仿宋_GB2312" w:eastAsia="仿宋_GB2312" w:cs="仿宋_GB2312"/>
          <w:sz w:val="32"/>
          <w:szCs w:val="32"/>
          <w:highlight w:val="none"/>
        </w:rPr>
        <w:t>；灌溉面积达30万亩。公平灌区总干渠长31km（从公平水库至赤沙水库），分干渠8条总长约60km。黄江上游也叫罗畲水，中游亦称赤岸河，下游则分西溪、东溪，西溪（含长沙湾水道）汇入南海红海湾，东溪经高螺湾水道（或称流冲河）汇入南海碣石湾。</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81" w:name="_Toc29852"/>
      <w:bookmarkStart w:id="82" w:name="_Toc5760"/>
      <w:bookmarkStart w:id="83" w:name="_Toc11615"/>
      <w:bookmarkStart w:id="84" w:name="_Toc24953"/>
      <w:r>
        <w:rPr>
          <w:rFonts w:hint="eastAsia" w:ascii="楷体_GB2312" w:hAnsi="楷体_GB2312" w:eastAsia="楷体_GB2312" w:cs="楷体_GB2312"/>
          <w:b w:val="0"/>
          <w:bCs w:val="0"/>
          <w:sz w:val="32"/>
          <w:szCs w:val="32"/>
          <w:highlight w:val="none"/>
          <w:lang w:val="en-US" w:eastAsia="zh-CN"/>
        </w:rPr>
        <w:t>（二）社会经济状况</w:t>
      </w:r>
      <w:bookmarkEnd w:id="81"/>
      <w:bookmarkEnd w:id="82"/>
      <w:bookmarkEnd w:id="83"/>
      <w:bookmarkEnd w:id="84"/>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85" w:name="_Toc13374"/>
      <w:bookmarkStart w:id="86" w:name="_Toc11582"/>
      <w:bookmarkStart w:id="87" w:name="_Toc29906"/>
      <w:bookmarkStart w:id="88" w:name="_Toc6881"/>
      <w:r>
        <w:rPr>
          <w:rFonts w:hint="eastAsia" w:ascii="仿宋_GB2312" w:hAnsi="仿宋_GB2312" w:eastAsia="仿宋_GB2312" w:cs="仿宋_GB2312"/>
          <w:sz w:val="32"/>
          <w:szCs w:val="32"/>
          <w:highlight w:val="none"/>
          <w:lang w:val="en-US" w:eastAsia="zh-CN"/>
        </w:rPr>
        <w:t>1.</w:t>
      </w:r>
      <w:r>
        <w:rPr>
          <w:rFonts w:hint="eastAsia" w:ascii="仿宋_GB2312" w:hAnsi="仿宋_GB2312" w:eastAsia="仿宋_GB2312" w:cs="仿宋_GB2312"/>
          <w:sz w:val="32"/>
          <w:szCs w:val="32"/>
          <w:highlight w:val="none"/>
        </w:rPr>
        <w:t>行政区划及人口</w:t>
      </w:r>
      <w:bookmarkEnd w:id="85"/>
      <w:bookmarkEnd w:id="86"/>
      <w:bookmarkEnd w:id="87"/>
      <w:bookmarkEnd w:id="88"/>
    </w:p>
    <w:p>
      <w:pPr>
        <w:pStyle w:val="9"/>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2020年</w:t>
      </w:r>
      <w:r>
        <w:rPr>
          <w:rFonts w:hint="eastAsia" w:ascii="仿宋_GB2312" w:hAnsi="仿宋_GB2312" w:eastAsia="仿宋_GB2312" w:cs="仿宋_GB2312"/>
          <w:sz w:val="32"/>
          <w:szCs w:val="32"/>
          <w:highlight w:val="none"/>
          <w:lang w:val="en-US" w:eastAsia="zh-CN"/>
        </w:rPr>
        <w:t>年末</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汕尾市城区户籍户数为8.09万户，户籍总人口为38.98万人，常住人口为39.44万人。城区</w:t>
      </w:r>
      <w:r>
        <w:rPr>
          <w:rFonts w:hint="eastAsia" w:ascii="仿宋_GB2312" w:hAnsi="仿宋_GB2312" w:eastAsia="仿宋_GB2312" w:cs="仿宋_GB2312"/>
          <w:sz w:val="32"/>
          <w:szCs w:val="32"/>
          <w:highlight w:val="none"/>
        </w:rPr>
        <w:t>常住人口中，城镇人口为</w:t>
      </w:r>
      <w:r>
        <w:rPr>
          <w:rFonts w:hint="eastAsia" w:ascii="仿宋_GB2312" w:hAnsi="仿宋_GB2312" w:eastAsia="仿宋_GB2312" w:cs="仿宋_GB2312"/>
          <w:sz w:val="32"/>
          <w:szCs w:val="32"/>
          <w:highlight w:val="none"/>
          <w:lang w:val="en-US" w:eastAsia="zh-CN"/>
        </w:rPr>
        <w:t>26.84万</w:t>
      </w:r>
      <w:r>
        <w:rPr>
          <w:rFonts w:hint="eastAsia" w:ascii="仿宋_GB2312" w:hAnsi="仿宋_GB2312" w:eastAsia="仿宋_GB2312" w:cs="仿宋_GB2312"/>
          <w:sz w:val="32"/>
          <w:szCs w:val="32"/>
          <w:highlight w:val="none"/>
        </w:rPr>
        <w:t>人，占</w:t>
      </w:r>
      <w:r>
        <w:rPr>
          <w:rFonts w:hint="eastAsia" w:ascii="仿宋_GB2312" w:hAnsi="仿宋_GB2312" w:eastAsia="仿宋_GB2312" w:cs="仿宋_GB2312"/>
          <w:sz w:val="32"/>
          <w:szCs w:val="32"/>
          <w:highlight w:val="none"/>
          <w:lang w:val="en-US" w:eastAsia="zh-CN"/>
        </w:rPr>
        <w:t>68.05</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农村</w:t>
      </w:r>
      <w:r>
        <w:rPr>
          <w:rFonts w:hint="eastAsia" w:ascii="仿宋_GB2312" w:hAnsi="仿宋_GB2312" w:eastAsia="仿宋_GB2312" w:cs="仿宋_GB2312"/>
          <w:sz w:val="32"/>
          <w:szCs w:val="32"/>
          <w:highlight w:val="none"/>
        </w:rPr>
        <w:t>人口为</w:t>
      </w:r>
      <w:r>
        <w:rPr>
          <w:rFonts w:hint="eastAsia" w:ascii="仿宋_GB2312" w:hAnsi="仿宋_GB2312" w:eastAsia="仿宋_GB2312" w:cs="仿宋_GB2312"/>
          <w:sz w:val="32"/>
          <w:szCs w:val="32"/>
          <w:highlight w:val="none"/>
          <w:lang w:val="en-US" w:eastAsia="zh-CN"/>
        </w:rPr>
        <w:t>12.15万</w:t>
      </w:r>
      <w:r>
        <w:rPr>
          <w:rFonts w:hint="eastAsia" w:ascii="仿宋_GB2312" w:hAnsi="仿宋_GB2312" w:eastAsia="仿宋_GB2312" w:cs="仿宋_GB2312"/>
          <w:sz w:val="32"/>
          <w:szCs w:val="32"/>
          <w:highlight w:val="none"/>
        </w:rPr>
        <w:t>人，占</w:t>
      </w:r>
      <w:r>
        <w:rPr>
          <w:rFonts w:hint="eastAsia" w:ascii="仿宋_GB2312" w:hAnsi="仿宋_GB2312" w:eastAsia="仿宋_GB2312" w:cs="仿宋_GB2312"/>
          <w:sz w:val="32"/>
          <w:szCs w:val="32"/>
          <w:highlight w:val="none"/>
          <w:lang w:val="en-US" w:eastAsia="zh-CN"/>
        </w:rPr>
        <w:t>30.81</w:t>
      </w:r>
      <w:r>
        <w:rPr>
          <w:rFonts w:hint="eastAsia" w:ascii="仿宋_GB2312" w:hAnsi="仿宋_GB2312" w:eastAsia="仿宋_GB2312" w:cs="仿宋_GB2312"/>
          <w:sz w:val="32"/>
          <w:szCs w:val="32"/>
          <w:highlight w:val="none"/>
        </w:rPr>
        <w:t>%。</w:t>
      </w:r>
    </w:p>
    <w:p>
      <w:pPr>
        <w:keepNext w:val="0"/>
        <w:keepLines w:val="0"/>
        <w:pageBreakBefore w:val="0"/>
        <w:widowControl/>
        <w:suppressLineNumbers w:val="0"/>
        <w:kinsoku/>
        <w:wordWrap/>
        <w:overflowPunct/>
        <w:topLinePunct w:val="0"/>
        <w:autoSpaceDE/>
        <w:autoSpaceDN/>
        <w:bidi w:val="0"/>
        <w:snapToGrid/>
        <w:spacing w:line="520" w:lineRule="exact"/>
        <w:ind w:firstLine="640" w:firstLineChars="200"/>
        <w:jc w:val="both"/>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kern w:val="0"/>
          <w:sz w:val="32"/>
          <w:szCs w:val="32"/>
          <w:highlight w:val="none"/>
          <w:lang w:val="en-US" w:eastAsia="zh-CN" w:bidi="ar-SA"/>
        </w:rPr>
        <w:t>汕尾市城区辖4个街道、3个镇：新港街道、香洲街道、凤山街道、马宫街道、红草镇、东涌镇、捷胜镇。城区共有58个行政村，167自然村和34个社区。其中，东涌镇辖下有15个行政村，51个自然村，辖区面积103平方公里；红草镇辖有14个行政村和1个社区，共57个自然村，辖区面积69.73平方公里；捷胜镇辖有14个行政村和4个社区，共35个自然村，辖区面积约52平方公里，海岸线长12公里；马宫街道辖有6个行政村和2个社区、24个自然村，辖区面积22.63平方公里，海岸线长15公里；凤山街道辖有11个社区居委会和2个渔业村委会，辖区面积21.09平方公里。</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89" w:name="_Toc3085"/>
      <w:bookmarkStart w:id="90" w:name="_Toc24913"/>
      <w:bookmarkStart w:id="91" w:name="_Toc10391"/>
      <w:bookmarkStart w:id="92" w:name="_Toc19774"/>
      <w:r>
        <w:rPr>
          <w:rFonts w:hint="eastAsia" w:ascii="仿宋_GB2312" w:hAnsi="仿宋_GB2312" w:eastAsia="仿宋_GB2312" w:cs="仿宋_GB2312"/>
          <w:sz w:val="32"/>
          <w:szCs w:val="32"/>
          <w:highlight w:val="none"/>
          <w:lang w:val="en-US" w:eastAsia="zh-CN"/>
        </w:rPr>
        <w:t>2.</w:t>
      </w:r>
      <w:r>
        <w:rPr>
          <w:rFonts w:hint="eastAsia" w:ascii="仿宋_GB2312" w:hAnsi="仿宋_GB2312" w:eastAsia="仿宋_GB2312" w:cs="仿宋_GB2312"/>
          <w:sz w:val="32"/>
          <w:szCs w:val="32"/>
          <w:highlight w:val="none"/>
        </w:rPr>
        <w:t>国民经济概况</w:t>
      </w:r>
      <w:bookmarkEnd w:id="89"/>
      <w:bookmarkEnd w:id="90"/>
      <w:bookmarkEnd w:id="91"/>
      <w:bookmarkEnd w:id="92"/>
    </w:p>
    <w:p>
      <w:pPr>
        <w:pStyle w:val="9"/>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2020年</w:t>
      </w:r>
      <w:r>
        <w:rPr>
          <w:rFonts w:hint="eastAsia" w:ascii="仿宋_GB2312" w:hAnsi="仿宋_GB2312" w:eastAsia="仿宋_GB2312" w:cs="仿宋_GB2312"/>
          <w:sz w:val="32"/>
          <w:szCs w:val="32"/>
          <w:highlight w:val="none"/>
          <w:lang w:val="en-US" w:eastAsia="zh-CN"/>
        </w:rPr>
        <w:t>底</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汕尾市城区</w:t>
      </w:r>
      <w:r>
        <w:rPr>
          <w:rFonts w:hint="eastAsia" w:ascii="仿宋_GB2312" w:hAnsi="仿宋_GB2312" w:eastAsia="仿宋_GB2312" w:cs="仿宋_GB2312"/>
          <w:sz w:val="32"/>
          <w:szCs w:val="32"/>
          <w:highlight w:val="none"/>
        </w:rPr>
        <w:t>实现地区生产总值287.28亿元，同比增长4.5%</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其中第一产业</w:t>
      </w:r>
      <w:r>
        <w:rPr>
          <w:rFonts w:hint="eastAsia" w:ascii="仿宋_GB2312" w:hAnsi="仿宋_GB2312" w:eastAsia="仿宋_GB2312" w:cs="仿宋_GB2312"/>
          <w:sz w:val="32"/>
          <w:szCs w:val="32"/>
          <w:highlight w:val="none"/>
        </w:rPr>
        <w:t>生产总值26</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rPr>
        <w:t>6</w:t>
      </w:r>
      <w:r>
        <w:rPr>
          <w:rFonts w:hint="eastAsia" w:ascii="仿宋_GB2312" w:hAnsi="仿宋_GB2312" w:eastAsia="仿宋_GB2312" w:cs="仿宋_GB2312"/>
          <w:sz w:val="32"/>
          <w:szCs w:val="32"/>
          <w:highlight w:val="none"/>
          <w:lang w:val="en-US" w:eastAsia="zh-CN"/>
        </w:rPr>
        <w:t>3亿</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第二产业</w:t>
      </w:r>
      <w:r>
        <w:rPr>
          <w:rFonts w:hint="eastAsia" w:ascii="仿宋_GB2312" w:hAnsi="仿宋_GB2312" w:eastAsia="仿宋_GB2312" w:cs="仿宋_GB2312"/>
          <w:sz w:val="32"/>
          <w:szCs w:val="32"/>
          <w:highlight w:val="none"/>
        </w:rPr>
        <w:t>生产总值96</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rPr>
        <w:t>3</w:t>
      </w:r>
      <w:r>
        <w:rPr>
          <w:rFonts w:hint="eastAsia" w:ascii="仿宋_GB2312" w:hAnsi="仿宋_GB2312" w:eastAsia="仿宋_GB2312" w:cs="仿宋_GB2312"/>
          <w:sz w:val="32"/>
          <w:szCs w:val="32"/>
          <w:highlight w:val="none"/>
          <w:lang w:val="en-US" w:eastAsia="zh-CN"/>
        </w:rPr>
        <w:t>3亿</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第三产业</w:t>
      </w:r>
      <w:r>
        <w:rPr>
          <w:rFonts w:hint="eastAsia" w:ascii="仿宋_GB2312" w:hAnsi="仿宋_GB2312" w:eastAsia="仿宋_GB2312" w:cs="仿宋_GB2312"/>
          <w:sz w:val="32"/>
          <w:szCs w:val="32"/>
          <w:highlight w:val="none"/>
        </w:rPr>
        <w:t>生产总值164</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rPr>
        <w:t>32</w:t>
      </w:r>
      <w:r>
        <w:rPr>
          <w:rFonts w:hint="eastAsia" w:ascii="仿宋_GB2312" w:hAnsi="仿宋_GB2312" w:eastAsia="仿宋_GB2312" w:cs="仿宋_GB2312"/>
          <w:sz w:val="32"/>
          <w:szCs w:val="32"/>
          <w:highlight w:val="none"/>
          <w:lang w:val="en-US" w:eastAsia="zh-CN"/>
        </w:rPr>
        <w:t>亿。人均地区生产总值</w:t>
      </w:r>
      <w:r>
        <w:rPr>
          <w:rFonts w:hint="eastAsia" w:ascii="仿宋_GB2312" w:hAnsi="仿宋_GB2312" w:eastAsia="仿宋_GB2312" w:cs="仿宋_GB2312"/>
          <w:sz w:val="32"/>
          <w:szCs w:val="32"/>
          <w:highlight w:val="none"/>
        </w:rPr>
        <w:t>7</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rPr>
        <w:t>2</w:t>
      </w:r>
      <w:r>
        <w:rPr>
          <w:rFonts w:hint="eastAsia" w:ascii="仿宋_GB2312" w:hAnsi="仿宋_GB2312" w:eastAsia="仿宋_GB2312" w:cs="仿宋_GB2312"/>
          <w:sz w:val="32"/>
          <w:szCs w:val="32"/>
          <w:highlight w:val="none"/>
          <w:lang w:val="en-US" w:eastAsia="zh-CN"/>
        </w:rPr>
        <w:t>9万元。</w:t>
      </w:r>
      <w:r>
        <w:rPr>
          <w:rFonts w:hint="eastAsia" w:ascii="仿宋_GB2312" w:hAnsi="仿宋_GB2312" w:eastAsia="仿宋_GB2312" w:cs="仿宋_GB2312"/>
          <w:sz w:val="32"/>
          <w:szCs w:val="32"/>
          <w:highlight w:val="none"/>
        </w:rPr>
        <w:t>农业总产值42.81亿元，同比增长5.1%；规模以上工业增加值70.43亿元，同比增长1.9%</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固定资产投资187.94亿元，同比增长12.8%；一般公共预算收入6.74亿元，同比增长5.8%</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经济运行态势总体良好。</w:t>
      </w:r>
    </w:p>
    <w:p>
      <w:pPr>
        <w:pStyle w:val="9"/>
        <w:pageBreakBefore w:val="0"/>
        <w:kinsoku/>
        <w:wordWrap/>
        <w:overflowPunct/>
        <w:topLinePunct w:val="0"/>
        <w:autoSpaceDE/>
        <w:autoSpaceDN/>
        <w:bidi w:val="0"/>
        <w:snapToGrid/>
        <w:spacing w:line="520" w:lineRule="exact"/>
        <w:ind w:firstLine="640" w:firstLineChars="200"/>
        <w:textAlignment w:val="auto"/>
        <w:rPr>
          <w:rFonts w:hint="eastAsia" w:ascii="黑体" w:hAnsi="黑体" w:eastAsia="黑体" w:cs="黑体"/>
          <w:sz w:val="32"/>
          <w:szCs w:val="32"/>
          <w:highlight w:val="none"/>
          <w:lang w:val="en-US" w:eastAsia="zh-CN"/>
        </w:rPr>
      </w:pPr>
      <w:bookmarkStart w:id="93" w:name="_Toc21857"/>
      <w:bookmarkStart w:id="94" w:name="_Toc10747"/>
      <w:bookmarkStart w:id="95" w:name="_Toc7827"/>
      <w:bookmarkStart w:id="96" w:name="_Toc4506"/>
      <w:r>
        <w:rPr>
          <w:rFonts w:hint="eastAsia" w:ascii="黑体" w:hAnsi="黑体" w:eastAsia="黑体" w:cs="黑体"/>
          <w:sz w:val="32"/>
          <w:szCs w:val="32"/>
          <w:highlight w:val="none"/>
          <w:lang w:val="en-US" w:eastAsia="zh-CN"/>
        </w:rPr>
        <w:t>三、农村生活污水治理现状</w:t>
      </w:r>
      <w:bookmarkEnd w:id="93"/>
      <w:bookmarkEnd w:id="94"/>
      <w:bookmarkEnd w:id="95"/>
      <w:bookmarkEnd w:id="96"/>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97" w:name="_Toc7362"/>
      <w:bookmarkStart w:id="98" w:name="_Toc15249"/>
      <w:r>
        <w:rPr>
          <w:rFonts w:hint="eastAsia" w:ascii="楷体_GB2312" w:hAnsi="楷体_GB2312" w:eastAsia="楷体_GB2312" w:cs="楷体_GB2312"/>
          <w:b w:val="0"/>
          <w:bCs w:val="0"/>
          <w:sz w:val="32"/>
          <w:szCs w:val="32"/>
          <w:highlight w:val="none"/>
          <w:lang w:val="en-US" w:eastAsia="zh-CN"/>
        </w:rPr>
        <w:t>（一）生活污水排放现状</w:t>
      </w:r>
      <w:bookmarkEnd w:id="97"/>
      <w:bookmarkEnd w:id="98"/>
    </w:p>
    <w:p>
      <w:pPr>
        <w:pageBreakBefore w:val="0"/>
        <w:kinsoku/>
        <w:wordWrap/>
        <w:overflowPunct/>
        <w:topLinePunct w:val="0"/>
        <w:autoSpaceDE/>
        <w:autoSpaceDN/>
        <w:bidi w:val="0"/>
        <w:adjustRightInd w:val="0"/>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sz w:val="32"/>
          <w:szCs w:val="32"/>
        </w:rPr>
        <w:t>根据现场调研及相关数据台账，城区基本完成改厕，目前农户的生活污水主要为三级化粪池出水（黑水）和厨房、淋浴产生的污水（灰水）。调研发现，</w:t>
      </w:r>
      <w:r>
        <w:rPr>
          <w:rFonts w:hint="eastAsia" w:ascii="仿宋_GB2312" w:hAnsi="仿宋_GB2312" w:eastAsia="仿宋_GB2312" w:cs="仿宋_GB2312"/>
          <w:color w:val="000000"/>
          <w:sz w:val="32"/>
          <w:szCs w:val="32"/>
          <w:lang w:val="en-US" w:eastAsia="zh-CN"/>
        </w:rPr>
        <w:t>目前城区</w:t>
      </w:r>
      <w:r>
        <w:rPr>
          <w:rFonts w:hint="eastAsia" w:ascii="仿宋_GB2312" w:hAnsi="仿宋_GB2312" w:eastAsia="仿宋_GB2312" w:cs="仿宋_GB2312"/>
          <w:color w:val="000000"/>
          <w:sz w:val="32"/>
          <w:szCs w:val="32"/>
        </w:rPr>
        <w:t>已</w:t>
      </w:r>
      <w:r>
        <w:rPr>
          <w:rFonts w:hint="eastAsia" w:ascii="仿宋_GB2312" w:hAnsi="仿宋_GB2312" w:eastAsia="仿宋_GB2312" w:cs="仿宋_GB2312"/>
          <w:color w:val="000000"/>
          <w:sz w:val="32"/>
          <w:szCs w:val="32"/>
          <w:lang w:val="en-US" w:eastAsia="zh-CN"/>
        </w:rPr>
        <w:t>开展生活污水治理自然村</w:t>
      </w:r>
      <w:r>
        <w:rPr>
          <w:rFonts w:hint="eastAsia" w:ascii="仿宋_GB2312" w:hAnsi="仿宋_GB2312" w:eastAsia="仿宋_GB2312" w:cs="仿宋_GB2312"/>
          <w:color w:val="000000"/>
          <w:sz w:val="32"/>
          <w:szCs w:val="32"/>
        </w:rPr>
        <w:t>的收集管网，主要为雨污</w:t>
      </w:r>
      <w:r>
        <w:rPr>
          <w:rFonts w:hint="eastAsia" w:ascii="仿宋_GB2312" w:hAnsi="仿宋_GB2312" w:eastAsia="仿宋_GB2312" w:cs="仿宋_GB2312"/>
          <w:color w:val="000000"/>
          <w:sz w:val="32"/>
          <w:szCs w:val="32"/>
          <w:lang w:val="en-US" w:eastAsia="zh-CN"/>
        </w:rPr>
        <w:t>合流</w:t>
      </w:r>
      <w:r>
        <w:rPr>
          <w:rFonts w:hint="eastAsia" w:ascii="仿宋_GB2312" w:hAnsi="仿宋_GB2312" w:eastAsia="仿宋_GB2312" w:cs="仿宋_GB2312"/>
          <w:color w:val="000000"/>
          <w:sz w:val="32"/>
          <w:szCs w:val="32"/>
        </w:rPr>
        <w:t>管网，</w:t>
      </w:r>
      <w:r>
        <w:rPr>
          <w:rFonts w:hint="eastAsia" w:ascii="仿宋_GB2312" w:hAnsi="仿宋_GB2312" w:eastAsia="仿宋_GB2312" w:cs="仿宋_GB2312"/>
          <w:color w:val="000000"/>
          <w:sz w:val="32"/>
          <w:szCs w:val="32"/>
          <w:lang w:val="en-US" w:eastAsia="zh-CN"/>
        </w:rPr>
        <w:t>大多数自然村已完成主管的铺设，但尚未建设接户支管，污水主要通过村内暗渠或老旧管网进行收集通过主管进入设施或污水处理厂进行处理。也有小部分自然村生活污水直排排水明渠，存在污水横流现象，部分常住人口较少的自然村污水流入灌渠，进入农田进行灌溉利用，或直排林地进行自然消纳</w:t>
      </w:r>
      <w:r>
        <w:rPr>
          <w:rFonts w:hint="eastAsia" w:ascii="仿宋_GB2312" w:hAnsi="仿宋_GB2312" w:eastAsia="仿宋_GB2312" w:cs="仿宋_GB2312"/>
          <w:color w:val="000000"/>
          <w:sz w:val="32"/>
          <w:szCs w:val="32"/>
        </w:rPr>
        <w:t>。</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99" w:name="_Toc7837"/>
      <w:bookmarkStart w:id="100" w:name="_Toc16210"/>
      <w:bookmarkStart w:id="101" w:name="_Toc29710"/>
      <w:r>
        <w:rPr>
          <w:rFonts w:hint="eastAsia" w:ascii="仿宋_GB2312" w:hAnsi="仿宋_GB2312" w:eastAsia="仿宋_GB2312" w:cs="仿宋_GB2312"/>
          <w:sz w:val="32"/>
          <w:szCs w:val="32"/>
          <w:highlight w:val="none"/>
          <w:lang w:val="en-US" w:eastAsia="zh-CN"/>
        </w:rPr>
        <w:t>1.</w:t>
      </w:r>
      <w:r>
        <w:rPr>
          <w:rFonts w:hint="eastAsia" w:ascii="仿宋_GB2312" w:hAnsi="仿宋_GB2312" w:eastAsia="仿宋_GB2312" w:cs="仿宋_GB2312"/>
          <w:sz w:val="32"/>
          <w:szCs w:val="32"/>
          <w:highlight w:val="none"/>
        </w:rPr>
        <w:t>污水量</w:t>
      </w:r>
      <w:bookmarkEnd w:id="99"/>
      <w:bookmarkEnd w:id="100"/>
      <w:bookmarkEnd w:id="101"/>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根据《广东省农村生活污水治理技术指引》，农村生活污水的排放量应根据实地调查数据确定，当缺乏实地调查数据时，应根据当地人口规模、用水现状、生活习惯、经济条件、地区规划等，参考表3-1的农村居民生活用水量，结合污水综合排放系数确定。农村生活污水处理设施工程规模为农村生活污水排放量与污水收集率的乘积，按以下公式计算：</w:t>
      </w:r>
    </w:p>
    <w:p>
      <w:pPr>
        <w:pageBreakBefore w:val="0"/>
        <w:kinsoku/>
        <w:wordWrap/>
        <w:overflowPunct/>
        <w:topLinePunct w:val="0"/>
        <w:autoSpaceDE/>
        <w:autoSpaceDN/>
        <w:bidi w:val="0"/>
        <w:snapToGrid/>
        <w:spacing w:line="520" w:lineRule="exact"/>
        <w:ind w:firstLine="640" w:firstLineChars="200"/>
        <w:jc w:val="center"/>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Q</w:t>
      </w:r>
      <w:r>
        <w:rPr>
          <w:rFonts w:hint="eastAsia" w:ascii="仿宋_GB2312" w:hAnsi="仿宋_GB2312" w:eastAsia="仿宋_GB2312" w:cs="仿宋_GB2312"/>
          <w:sz w:val="32"/>
          <w:szCs w:val="32"/>
          <w:highlight w:val="none"/>
          <w:vertAlign w:val="subscript"/>
        </w:rPr>
        <w:t>w</w:t>
      </w:r>
      <w:r>
        <w:rPr>
          <w:rFonts w:hint="eastAsia" w:ascii="仿宋_GB2312" w:hAnsi="仿宋_GB2312" w:eastAsia="仿宋_GB2312" w:cs="仿宋_GB2312"/>
          <w:sz w:val="32"/>
          <w:szCs w:val="32"/>
          <w:highlight w:val="none"/>
        </w:rPr>
        <w:t>=（n×q×z×η）/1000</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式中：</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Q</w:t>
      </w:r>
      <w:r>
        <w:rPr>
          <w:rFonts w:hint="eastAsia" w:ascii="仿宋_GB2312" w:hAnsi="仿宋_GB2312" w:eastAsia="仿宋_GB2312" w:cs="仿宋_GB2312"/>
          <w:sz w:val="32"/>
          <w:szCs w:val="32"/>
          <w:highlight w:val="none"/>
          <w:vertAlign w:val="subscript"/>
        </w:rPr>
        <w:t>w</w:t>
      </w:r>
      <w:r>
        <w:rPr>
          <w:rFonts w:hint="eastAsia" w:ascii="仿宋_GB2312" w:hAnsi="仿宋_GB2312" w:eastAsia="仿宋_GB2312" w:cs="仿宋_GB2312"/>
          <w:sz w:val="32"/>
          <w:szCs w:val="32"/>
          <w:highlight w:val="none"/>
        </w:rPr>
        <w:t>——农村生活污水处理设施工程规模，m³/d；</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q——农村居民生活用水量，L/（人·d），参考下表3-1所示。</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n——服务人口数，服务人口数应以户籍人口或常住人口为基础，结合当地的具体情况确定；</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z——综合排放系数，受地区气候、建筑物内部设备情况、生活习惯、生活水平等因素影响，一般取70%～90%；</w:t>
      </w:r>
    </w:p>
    <w:p>
      <w:pPr>
        <w:pageBreakBefore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η——污水收集率，应根据村庄或区域污水收集管网的覆盖范围及完善程度确定。</w:t>
      </w:r>
    </w:p>
    <w:p>
      <w:pPr>
        <w:pStyle w:val="35"/>
        <w:pageBreakBefore w:val="0"/>
        <w:kinsoku/>
        <w:wordWrap/>
        <w:overflowPunct/>
        <w:topLinePunct w:val="0"/>
        <w:autoSpaceDE/>
        <w:autoSpaceDN/>
        <w:bidi w:val="0"/>
        <w:snapToGrid/>
        <w:spacing w:line="520" w:lineRule="exact"/>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表3-1 农村居民生活用水量参考取值</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5459"/>
        <w:gridCol w:w="2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529" w:type="pct"/>
            <w:gridSpan w:val="2"/>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村庄类型</w:t>
            </w:r>
          </w:p>
        </w:tc>
        <w:tc>
          <w:tcPr>
            <w:tcW w:w="1471"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用水量L/（人·天）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2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一</w:t>
            </w:r>
          </w:p>
        </w:tc>
        <w:tc>
          <w:tcPr>
            <w:tcW w:w="320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室内有给排水设施且卫生设施齐全</w:t>
            </w:r>
          </w:p>
        </w:tc>
        <w:tc>
          <w:tcPr>
            <w:tcW w:w="1471"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120-150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2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二</w:t>
            </w:r>
          </w:p>
        </w:tc>
        <w:tc>
          <w:tcPr>
            <w:tcW w:w="320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室内部分有给排水设施且卫生设施较齐全</w:t>
            </w:r>
          </w:p>
        </w:tc>
        <w:tc>
          <w:tcPr>
            <w:tcW w:w="1471"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90-120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32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三</w:t>
            </w:r>
          </w:p>
        </w:tc>
        <w:tc>
          <w:tcPr>
            <w:tcW w:w="320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室内部分有给排水设施和卫生设施</w:t>
            </w:r>
          </w:p>
        </w:tc>
        <w:tc>
          <w:tcPr>
            <w:tcW w:w="1471"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80-100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26"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四</w:t>
            </w:r>
          </w:p>
        </w:tc>
        <w:tc>
          <w:tcPr>
            <w:tcW w:w="320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无卫生间和淋浴设备</w:t>
            </w:r>
          </w:p>
        </w:tc>
        <w:tc>
          <w:tcPr>
            <w:tcW w:w="1471"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60-90</w:t>
            </w:r>
          </w:p>
        </w:tc>
      </w:tr>
    </w:tbl>
    <w:p>
      <w:pPr>
        <w:pageBreakBefore w:val="0"/>
        <w:widowControl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color w:val="auto"/>
          <w:sz w:val="32"/>
          <w:szCs w:val="32"/>
          <w:highlight w:val="none"/>
          <w:lang w:eastAsia="zh-CN"/>
        </w:rPr>
      </w:pPr>
      <w:r>
        <w:rPr>
          <w:rFonts w:hint="eastAsia" w:ascii="仿宋_GB2312" w:hAnsi="仿宋_GB2312" w:eastAsia="仿宋_GB2312" w:cs="仿宋_GB2312"/>
          <w:color w:val="auto"/>
          <w:sz w:val="32"/>
          <w:szCs w:val="32"/>
          <w:highlight w:val="none"/>
        </w:rPr>
        <w:t>考虑到</w:t>
      </w:r>
      <w:r>
        <w:rPr>
          <w:rFonts w:hint="eastAsia" w:ascii="仿宋_GB2312" w:hAnsi="仿宋_GB2312" w:eastAsia="仿宋_GB2312" w:cs="仿宋_GB2312"/>
          <w:color w:val="auto"/>
          <w:sz w:val="32"/>
          <w:szCs w:val="32"/>
          <w:highlight w:val="none"/>
          <w:lang w:val="en-US" w:eastAsia="zh-CN"/>
        </w:rPr>
        <w:t>城区是汕尾市的中心城区</w:t>
      </w:r>
      <w:r>
        <w:rPr>
          <w:rFonts w:hint="eastAsia" w:ascii="仿宋_GB2312" w:hAnsi="仿宋_GB2312" w:eastAsia="仿宋_GB2312" w:cs="仿宋_GB2312"/>
          <w:color w:val="auto"/>
          <w:sz w:val="32"/>
          <w:szCs w:val="32"/>
          <w:highlight w:val="none"/>
        </w:rPr>
        <w:t>，下辖的村庄农户卫生设施配置较齐全，用水量按150（L/人·天），综合排放系数按80%、污水收集率按80%计算，则</w:t>
      </w:r>
      <w:r>
        <w:rPr>
          <w:rFonts w:hint="eastAsia" w:ascii="仿宋_GB2312" w:hAnsi="仿宋_GB2312" w:eastAsia="仿宋_GB2312" w:cs="仿宋_GB2312"/>
          <w:color w:val="auto"/>
          <w:sz w:val="32"/>
          <w:szCs w:val="32"/>
          <w:highlight w:val="none"/>
          <w:lang w:val="en-US" w:eastAsia="zh-CN"/>
        </w:rPr>
        <w:t>城区</w:t>
      </w:r>
      <w:r>
        <w:rPr>
          <w:rFonts w:hint="eastAsia" w:ascii="仿宋_GB2312" w:hAnsi="仿宋_GB2312" w:eastAsia="仿宋_GB2312" w:cs="仿宋_GB2312"/>
          <w:color w:val="auto"/>
          <w:sz w:val="32"/>
          <w:szCs w:val="32"/>
          <w:highlight w:val="none"/>
        </w:rPr>
        <w:t>农村居民排水量初步测算为</w:t>
      </w:r>
      <w:r>
        <w:rPr>
          <w:rFonts w:hint="eastAsia" w:ascii="仿宋_GB2312" w:hAnsi="仿宋_GB2312" w:eastAsia="仿宋_GB2312" w:cs="仿宋_GB2312"/>
          <w:color w:val="auto"/>
          <w:sz w:val="32"/>
          <w:szCs w:val="32"/>
          <w:highlight w:val="none"/>
          <w:lang w:val="en-US" w:eastAsia="zh-CN"/>
        </w:rPr>
        <w:t>96</w:t>
      </w:r>
      <w:r>
        <w:rPr>
          <w:rFonts w:hint="eastAsia" w:ascii="仿宋_GB2312" w:hAnsi="仿宋_GB2312" w:eastAsia="仿宋_GB2312" w:cs="仿宋_GB2312"/>
          <w:color w:val="auto"/>
          <w:sz w:val="32"/>
          <w:szCs w:val="32"/>
          <w:highlight w:val="none"/>
        </w:rPr>
        <w:t>L/（人·天），即0.096m³/（人·天</w:t>
      </w:r>
      <w:r>
        <w:rPr>
          <w:rFonts w:hint="eastAsia" w:ascii="仿宋_GB2312" w:hAnsi="仿宋_GB2312" w:eastAsia="仿宋_GB2312" w:cs="仿宋_GB2312"/>
          <w:color w:val="auto"/>
          <w:sz w:val="32"/>
          <w:szCs w:val="32"/>
          <w:highlight w:val="none"/>
          <w:lang w:eastAsia="zh-CN"/>
        </w:rPr>
        <w:t>）。</w:t>
      </w:r>
    </w:p>
    <w:p>
      <w:pPr>
        <w:pStyle w:val="6"/>
        <w:keepNext/>
        <w:keepLines/>
        <w:pageBreakBefore w:val="0"/>
        <w:widowControl w:val="0"/>
        <w:kinsoku/>
        <w:wordWrap/>
        <w:overflowPunct/>
        <w:topLinePunct w:val="0"/>
        <w:autoSpaceDE/>
        <w:autoSpaceDN/>
        <w:bidi w:val="0"/>
        <w:adjustRightInd/>
        <w:snapToGrid/>
        <w:spacing w:before="0" w:after="0" w:line="520" w:lineRule="exact"/>
        <w:ind w:left="0" w:leftChars="0" w:firstLine="643" w:firstLineChars="200"/>
        <w:textAlignment w:val="auto"/>
        <w:rPr>
          <w:rFonts w:hint="eastAsia" w:ascii="仿宋_GB2312" w:hAnsi="仿宋_GB2312" w:eastAsia="仿宋_GB2312" w:cs="仿宋_GB2312"/>
          <w:sz w:val="32"/>
          <w:szCs w:val="32"/>
          <w:highlight w:val="none"/>
        </w:rPr>
      </w:pPr>
      <w:bookmarkStart w:id="102" w:name="_Toc10829"/>
      <w:bookmarkStart w:id="103" w:name="_Toc25162"/>
      <w:bookmarkStart w:id="104" w:name="_Toc2310"/>
      <w:r>
        <w:rPr>
          <w:rFonts w:hint="eastAsia" w:ascii="仿宋_GB2312" w:hAnsi="仿宋_GB2312" w:eastAsia="仿宋_GB2312" w:cs="仿宋_GB2312"/>
          <w:sz w:val="32"/>
          <w:szCs w:val="32"/>
          <w:highlight w:val="none"/>
          <w:lang w:val="en-US" w:eastAsia="zh-CN"/>
        </w:rPr>
        <w:t>2.</w:t>
      </w:r>
      <w:r>
        <w:rPr>
          <w:rFonts w:hint="eastAsia" w:ascii="仿宋_GB2312" w:hAnsi="仿宋_GB2312" w:eastAsia="仿宋_GB2312" w:cs="仿宋_GB2312"/>
          <w:sz w:val="32"/>
          <w:szCs w:val="32"/>
          <w:highlight w:val="none"/>
        </w:rPr>
        <w:t>污水水质</w:t>
      </w:r>
      <w:bookmarkEnd w:id="102"/>
      <w:bookmarkEnd w:id="103"/>
      <w:bookmarkEnd w:id="104"/>
    </w:p>
    <w:p>
      <w:pPr>
        <w:pageBreakBefore w:val="0"/>
        <w:widowControl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农村生活污水浓度根据排水体制不同有所差别。当采用雨污合流制，农村生活污水处理设施的进水浓度较低；当采用雨污分流制，进水浓度相对较高。参考广东省地方标准《农村生活污水处理排放标准》编制说明以及部分农村生活污水水质监测数据，雨污合流制、雨污分流制下农村生活污水处理设施进水浓度一般如表3-2所示。</w:t>
      </w: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表3-2 广东省不同排水体制下的农村生活污水处理设施</w:t>
      </w:r>
    </w:p>
    <w:p>
      <w:pPr>
        <w:pStyle w:val="35"/>
        <w:keepNext w:val="0"/>
        <w:keepLines w:val="0"/>
        <w:pageBreakBefore w:val="0"/>
        <w:widowControl w:val="0"/>
        <w:kinsoku/>
        <w:wordWrap/>
        <w:overflowPunct/>
        <w:topLinePunct w:val="0"/>
        <w:autoSpaceDE/>
        <w:autoSpaceDN/>
        <w:bidi w:val="0"/>
        <w:adjustRightInd/>
        <w:snapToGrid/>
        <w:spacing w:line="520" w:lineRule="exact"/>
        <w:ind w:left="0" w:leftChars="0"/>
        <w:jc w:val="center"/>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进水浓度</w:t>
      </w:r>
    </w:p>
    <w:p>
      <w:pPr>
        <w:pStyle w:val="37"/>
        <w:keepNext w:val="0"/>
        <w:keepLines w:val="0"/>
        <w:pageBreakBefore w:val="0"/>
        <w:widowControl w:val="0"/>
        <w:kinsoku/>
        <w:wordWrap/>
        <w:overflowPunct/>
        <w:topLinePunct w:val="0"/>
        <w:autoSpaceDE/>
        <w:autoSpaceDN/>
        <w:bidi w:val="0"/>
        <w:adjustRightInd/>
        <w:snapToGrid/>
        <w:spacing w:before="0" w:beforeLines="0" w:line="520" w:lineRule="exact"/>
        <w:ind w:left="0" w:leftChars="0" w:firstLine="0"/>
        <w:jc w:val="right"/>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单位：mg/L</w:t>
      </w:r>
    </w:p>
    <w:tbl>
      <w:tblPr>
        <w:tblStyle w:val="20"/>
        <w:tblW w:w="5000" w:type="pct"/>
        <w:tblInd w:w="0" w:type="dxa"/>
        <w:tblLayout w:type="autofit"/>
        <w:tblCellMar>
          <w:top w:w="0" w:type="dxa"/>
          <w:left w:w="108" w:type="dxa"/>
          <w:bottom w:w="0" w:type="dxa"/>
          <w:right w:w="108" w:type="dxa"/>
        </w:tblCellMar>
      </w:tblPr>
      <w:tblGrid>
        <w:gridCol w:w="1956"/>
        <w:gridCol w:w="1403"/>
        <w:gridCol w:w="1401"/>
        <w:gridCol w:w="1253"/>
        <w:gridCol w:w="1256"/>
        <w:gridCol w:w="1253"/>
      </w:tblGrid>
      <w:tr>
        <w:tblPrEx>
          <w:tblCellMar>
            <w:top w:w="0" w:type="dxa"/>
            <w:left w:w="108" w:type="dxa"/>
            <w:bottom w:w="0" w:type="dxa"/>
            <w:right w:w="108" w:type="dxa"/>
          </w:tblCellMar>
        </w:tblPrEx>
        <w:trPr>
          <w:trHeight w:val="567" w:hRule="atLeast"/>
        </w:trPr>
        <w:tc>
          <w:tcPr>
            <w:tcW w:w="1148" w:type="pct"/>
            <w:tcBorders>
              <w:top w:val="single" w:color="auto" w:sz="4" w:space="0"/>
              <w:left w:val="single" w:color="auto" w:sz="4" w:space="0"/>
              <w:bottom w:val="single" w:color="auto" w:sz="4" w:space="0"/>
              <w:right w:val="single" w:color="auto" w:sz="4" w:space="0"/>
              <w:tl2br w:val="single" w:color="auto" w:sz="4" w:space="0"/>
            </w:tcBorders>
            <w:vAlign w:val="center"/>
          </w:tcPr>
          <w:p>
            <w:pPr>
              <w:spacing w:line="273" w:lineRule="auto"/>
              <w:jc w:val="right"/>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污染物</w:t>
            </w:r>
          </w:p>
          <w:p>
            <w:pPr>
              <w:spacing w:line="273" w:lineRule="auto"/>
              <w:jc w:val="left"/>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排水体制</w:t>
            </w:r>
          </w:p>
        </w:tc>
        <w:tc>
          <w:tcPr>
            <w:tcW w:w="823" w:type="pct"/>
            <w:tcBorders>
              <w:top w:val="single" w:color="auto" w:sz="4" w:space="0"/>
              <w:left w:val="nil"/>
              <w:bottom w:val="single" w:color="auto" w:sz="4" w:space="0"/>
              <w:right w:val="single" w:color="auto" w:sz="4" w:space="0"/>
            </w:tcBorders>
            <w:vAlign w:val="center"/>
          </w:tcPr>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化学需氧量</w:t>
            </w:r>
          </w:p>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（COD）</w:t>
            </w:r>
          </w:p>
        </w:tc>
        <w:tc>
          <w:tcPr>
            <w:tcW w:w="822" w:type="pct"/>
            <w:tcBorders>
              <w:top w:val="single" w:color="auto" w:sz="4" w:space="0"/>
              <w:left w:val="nil"/>
              <w:bottom w:val="single" w:color="auto" w:sz="4" w:space="0"/>
              <w:right w:val="single" w:color="auto" w:sz="4" w:space="0"/>
            </w:tcBorders>
            <w:vAlign w:val="center"/>
          </w:tcPr>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生化需氧量</w:t>
            </w:r>
          </w:p>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（BOD</w:t>
            </w:r>
            <w:r>
              <w:rPr>
                <w:rFonts w:hint="eastAsia" w:ascii="仿宋_GB2312" w:hAnsi="仿宋_GB2312" w:eastAsia="仿宋_GB2312" w:cs="仿宋_GB2312"/>
                <w:b/>
                <w:bCs/>
                <w:sz w:val="21"/>
                <w:szCs w:val="21"/>
                <w:highlight w:val="none"/>
                <w:vertAlign w:val="subscript"/>
              </w:rPr>
              <w:t>5</w:t>
            </w:r>
            <w:r>
              <w:rPr>
                <w:rFonts w:hint="eastAsia" w:ascii="仿宋_GB2312" w:hAnsi="仿宋_GB2312" w:eastAsia="仿宋_GB2312" w:cs="仿宋_GB2312"/>
                <w:b/>
                <w:bCs/>
                <w:sz w:val="21"/>
                <w:szCs w:val="21"/>
                <w:highlight w:val="none"/>
              </w:rPr>
              <w:t>）</w:t>
            </w:r>
          </w:p>
        </w:tc>
        <w:tc>
          <w:tcPr>
            <w:tcW w:w="735" w:type="pct"/>
            <w:tcBorders>
              <w:top w:val="single" w:color="auto" w:sz="4" w:space="0"/>
              <w:left w:val="nil"/>
              <w:bottom w:val="single" w:color="auto" w:sz="4" w:space="0"/>
              <w:right w:val="single" w:color="auto" w:sz="4" w:space="0"/>
            </w:tcBorders>
            <w:vAlign w:val="center"/>
          </w:tcPr>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悬浮物</w:t>
            </w:r>
          </w:p>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（SS）</w:t>
            </w:r>
          </w:p>
        </w:tc>
        <w:tc>
          <w:tcPr>
            <w:tcW w:w="737" w:type="pct"/>
            <w:tcBorders>
              <w:top w:val="single" w:color="auto" w:sz="4" w:space="0"/>
              <w:left w:val="nil"/>
              <w:bottom w:val="single" w:color="auto" w:sz="4" w:space="0"/>
              <w:right w:val="single" w:color="auto" w:sz="4" w:space="0"/>
            </w:tcBorders>
            <w:vAlign w:val="center"/>
          </w:tcPr>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氨氮</w:t>
            </w:r>
          </w:p>
          <w:p>
            <w:pPr>
              <w:spacing w:line="273" w:lineRule="auto"/>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(NH</w:t>
            </w:r>
            <w:r>
              <w:rPr>
                <w:rFonts w:hint="eastAsia" w:ascii="仿宋_GB2312" w:hAnsi="仿宋_GB2312" w:eastAsia="仿宋_GB2312" w:cs="仿宋_GB2312"/>
                <w:b/>
                <w:bCs/>
                <w:sz w:val="21"/>
                <w:szCs w:val="21"/>
                <w:highlight w:val="none"/>
                <w:vertAlign w:val="subscript"/>
              </w:rPr>
              <w:t>3</w:t>
            </w:r>
            <w:r>
              <w:rPr>
                <w:rFonts w:hint="eastAsia" w:ascii="仿宋_GB2312" w:hAnsi="仿宋_GB2312" w:eastAsia="仿宋_GB2312" w:cs="仿宋_GB2312"/>
                <w:b/>
                <w:bCs/>
                <w:sz w:val="21"/>
                <w:szCs w:val="21"/>
                <w:highlight w:val="none"/>
              </w:rPr>
              <w:t>-N)</w:t>
            </w:r>
          </w:p>
        </w:tc>
        <w:tc>
          <w:tcPr>
            <w:tcW w:w="735" w:type="pct"/>
            <w:tcBorders>
              <w:top w:val="single" w:color="auto" w:sz="4" w:space="0"/>
              <w:left w:val="nil"/>
              <w:bottom w:val="single" w:color="auto" w:sz="4" w:space="0"/>
              <w:right w:val="single" w:color="auto" w:sz="4" w:space="0"/>
            </w:tcBorders>
            <w:vAlign w:val="center"/>
          </w:tcPr>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总磷</w:t>
            </w:r>
          </w:p>
          <w:p>
            <w:pPr>
              <w:spacing w:line="273" w:lineRule="auto"/>
              <w:jc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（TP）</w:t>
            </w:r>
          </w:p>
        </w:tc>
      </w:tr>
      <w:tr>
        <w:tblPrEx>
          <w:tblCellMar>
            <w:top w:w="0" w:type="dxa"/>
            <w:left w:w="108" w:type="dxa"/>
            <w:bottom w:w="0" w:type="dxa"/>
            <w:right w:w="108" w:type="dxa"/>
          </w:tblCellMar>
        </w:tblPrEx>
        <w:trPr>
          <w:trHeight w:val="567" w:hRule="atLeast"/>
        </w:trPr>
        <w:tc>
          <w:tcPr>
            <w:tcW w:w="114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雨污合流制</w:t>
            </w:r>
          </w:p>
        </w:tc>
        <w:tc>
          <w:tcPr>
            <w:tcW w:w="82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80～200</w:t>
            </w:r>
          </w:p>
        </w:tc>
        <w:tc>
          <w:tcPr>
            <w:tcW w:w="822"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50～100</w:t>
            </w:r>
          </w:p>
        </w:tc>
        <w:tc>
          <w:tcPr>
            <w:tcW w:w="735"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80～150</w:t>
            </w:r>
          </w:p>
        </w:tc>
        <w:tc>
          <w:tcPr>
            <w:tcW w:w="737"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10～40</w:t>
            </w:r>
          </w:p>
        </w:tc>
        <w:tc>
          <w:tcPr>
            <w:tcW w:w="735"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1～3</w:t>
            </w:r>
          </w:p>
        </w:tc>
      </w:tr>
      <w:tr>
        <w:tblPrEx>
          <w:tblCellMar>
            <w:top w:w="0" w:type="dxa"/>
            <w:left w:w="108" w:type="dxa"/>
            <w:bottom w:w="0" w:type="dxa"/>
            <w:right w:w="108" w:type="dxa"/>
          </w:tblCellMar>
        </w:tblPrEx>
        <w:trPr>
          <w:trHeight w:val="567" w:hRule="atLeast"/>
        </w:trPr>
        <w:tc>
          <w:tcPr>
            <w:tcW w:w="1148" w:type="pct"/>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雨污分流制</w:t>
            </w:r>
          </w:p>
        </w:tc>
        <w:tc>
          <w:tcPr>
            <w:tcW w:w="823"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180～350</w:t>
            </w:r>
          </w:p>
        </w:tc>
        <w:tc>
          <w:tcPr>
            <w:tcW w:w="822"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80～150</w:t>
            </w:r>
          </w:p>
        </w:tc>
        <w:tc>
          <w:tcPr>
            <w:tcW w:w="735"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140～200</w:t>
            </w:r>
          </w:p>
        </w:tc>
        <w:tc>
          <w:tcPr>
            <w:tcW w:w="737"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35～70</w:t>
            </w:r>
          </w:p>
        </w:tc>
        <w:tc>
          <w:tcPr>
            <w:tcW w:w="735" w:type="pct"/>
            <w:tcBorders>
              <w:top w:val="single" w:color="auto" w:sz="4" w:space="0"/>
              <w:left w:val="nil"/>
              <w:bottom w:val="single" w:color="auto" w:sz="4" w:space="0"/>
              <w:right w:val="single" w:color="auto" w:sz="4" w:space="0"/>
            </w:tcBorders>
            <w:vAlign w:val="center"/>
          </w:tcPr>
          <w:p>
            <w:pPr>
              <w:spacing w:line="360" w:lineRule="auto"/>
              <w:jc w:val="center"/>
              <w:rPr>
                <w:rFonts w:hint="eastAsia" w:ascii="仿宋_GB2312" w:hAnsi="仿宋_GB2312" w:eastAsia="仿宋_GB2312" w:cs="仿宋_GB2312"/>
                <w:sz w:val="21"/>
                <w:szCs w:val="21"/>
                <w:highlight w:val="none"/>
              </w:rPr>
            </w:pPr>
            <w:r>
              <w:rPr>
                <w:rFonts w:hint="eastAsia" w:ascii="仿宋_GB2312" w:hAnsi="仿宋_GB2312" w:eastAsia="仿宋_GB2312" w:cs="仿宋_GB2312"/>
                <w:sz w:val="21"/>
                <w:szCs w:val="21"/>
                <w:highlight w:val="none"/>
              </w:rPr>
              <w:t>2～4</w:t>
            </w:r>
          </w:p>
        </w:tc>
      </w:tr>
    </w:tbl>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rPr>
        <w:t>根据实地调研，</w:t>
      </w:r>
      <w:r>
        <w:rPr>
          <w:rFonts w:hint="eastAsia" w:ascii="仿宋_GB2312" w:hAnsi="仿宋_GB2312" w:eastAsia="仿宋_GB2312" w:cs="仿宋_GB2312"/>
          <w:sz w:val="32"/>
          <w:szCs w:val="32"/>
          <w:highlight w:val="none"/>
          <w:lang w:val="en-US" w:eastAsia="zh-CN"/>
        </w:rPr>
        <w:t>目前城区</w:t>
      </w:r>
      <w:r>
        <w:rPr>
          <w:rFonts w:hint="eastAsia" w:ascii="仿宋_GB2312" w:hAnsi="仿宋_GB2312" w:eastAsia="仿宋_GB2312" w:cs="仿宋_GB2312"/>
          <w:sz w:val="32"/>
          <w:szCs w:val="32"/>
          <w:highlight w:val="none"/>
        </w:rPr>
        <w:t>已建污水处理设施所配套的污水收集管网主要为雨污</w:t>
      </w:r>
      <w:r>
        <w:rPr>
          <w:rFonts w:hint="eastAsia" w:ascii="仿宋_GB2312" w:hAnsi="仿宋_GB2312" w:eastAsia="仿宋_GB2312" w:cs="仿宋_GB2312"/>
          <w:sz w:val="32"/>
          <w:szCs w:val="32"/>
          <w:highlight w:val="none"/>
          <w:lang w:val="en-US" w:eastAsia="zh-CN"/>
        </w:rPr>
        <w:t>合流</w:t>
      </w:r>
      <w:r>
        <w:rPr>
          <w:rFonts w:hint="eastAsia" w:ascii="仿宋_GB2312" w:hAnsi="仿宋_GB2312" w:eastAsia="仿宋_GB2312" w:cs="仿宋_GB2312"/>
          <w:sz w:val="32"/>
          <w:szCs w:val="32"/>
          <w:highlight w:val="none"/>
        </w:rPr>
        <w:t>制，</w:t>
      </w:r>
      <w:r>
        <w:rPr>
          <w:rFonts w:hint="eastAsia" w:ascii="仿宋_GB2312" w:hAnsi="仿宋_GB2312" w:eastAsia="仿宋_GB2312" w:cs="仿宋_GB2312"/>
          <w:sz w:val="32"/>
          <w:szCs w:val="32"/>
          <w:highlight w:val="none"/>
          <w:lang w:val="en-US" w:eastAsia="zh-CN"/>
        </w:rPr>
        <w:t>尚未建设接户支管，</w:t>
      </w:r>
      <w:r>
        <w:rPr>
          <w:rFonts w:hint="eastAsia" w:ascii="仿宋_GB2312" w:hAnsi="仿宋_GB2312" w:eastAsia="仿宋_GB2312" w:cs="仿宋_GB2312"/>
          <w:sz w:val="32"/>
          <w:szCs w:val="32"/>
          <w:highlight w:val="none"/>
        </w:rPr>
        <w:t>结合</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农村生活污水处理设施进水实测数据，</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农村生活污水处理设施的进水浓度相对偏低，以COD为例，大部分村庄在</w:t>
      </w:r>
      <w:r>
        <w:rPr>
          <w:rFonts w:hint="eastAsia" w:ascii="仿宋_GB2312" w:hAnsi="仿宋_GB2312" w:eastAsia="仿宋_GB2312" w:cs="仿宋_GB2312"/>
          <w:sz w:val="32"/>
          <w:szCs w:val="32"/>
          <w:highlight w:val="none"/>
          <w:lang w:val="en-US" w:eastAsia="zh-CN"/>
        </w:rPr>
        <w:t>50</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100</w:t>
      </w:r>
      <w:r>
        <w:rPr>
          <w:rFonts w:hint="eastAsia" w:ascii="仿宋_GB2312" w:hAnsi="仿宋_GB2312" w:eastAsia="仿宋_GB2312" w:cs="仿宋_GB2312"/>
          <w:sz w:val="32"/>
          <w:szCs w:val="32"/>
          <w:highlight w:val="none"/>
        </w:rPr>
        <w:t xml:space="preserve"> mg/L范围内。</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105" w:name="_Toc7575"/>
      <w:bookmarkStart w:id="106" w:name="_Toc21008"/>
      <w:bookmarkStart w:id="107" w:name="_Toc11034"/>
      <w:bookmarkStart w:id="108" w:name="_Toc24858"/>
      <w:r>
        <w:rPr>
          <w:rFonts w:hint="eastAsia" w:ascii="楷体_GB2312" w:hAnsi="楷体_GB2312" w:eastAsia="楷体_GB2312" w:cs="楷体_GB2312"/>
          <w:b w:val="0"/>
          <w:bCs w:val="0"/>
          <w:sz w:val="32"/>
          <w:szCs w:val="32"/>
          <w:highlight w:val="none"/>
          <w:lang w:val="en-US" w:eastAsia="zh-CN"/>
        </w:rPr>
        <w:t>（二）污水治理现状</w:t>
      </w:r>
      <w:bookmarkEnd w:id="105"/>
      <w:bookmarkEnd w:id="106"/>
      <w:bookmarkEnd w:id="107"/>
      <w:bookmarkEnd w:id="108"/>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109" w:name="_Toc8734"/>
      <w:bookmarkStart w:id="110" w:name="_Toc25811"/>
      <w:bookmarkStart w:id="111" w:name="_Toc5518"/>
      <w:bookmarkStart w:id="112" w:name="_Toc12185"/>
      <w:bookmarkStart w:id="113" w:name="_Toc14321"/>
      <w:bookmarkStart w:id="114" w:name="_Toc28527"/>
      <w:bookmarkStart w:id="115" w:name="_Toc20845"/>
      <w:r>
        <w:rPr>
          <w:rFonts w:hint="eastAsia" w:ascii="仿宋_GB2312" w:hAnsi="仿宋_GB2312" w:eastAsia="仿宋_GB2312" w:cs="仿宋_GB2312"/>
          <w:sz w:val="32"/>
          <w:szCs w:val="32"/>
          <w:highlight w:val="none"/>
          <w:lang w:val="en-US" w:eastAsia="zh-CN"/>
        </w:rPr>
        <w:t>1.城区</w:t>
      </w:r>
      <w:r>
        <w:rPr>
          <w:rFonts w:hint="eastAsia" w:ascii="仿宋_GB2312" w:hAnsi="仿宋_GB2312" w:eastAsia="仿宋_GB2312" w:cs="仿宋_GB2312"/>
          <w:sz w:val="32"/>
          <w:szCs w:val="32"/>
          <w:highlight w:val="none"/>
        </w:rPr>
        <w:t>农村生活污水治理现状</w:t>
      </w:r>
      <w:bookmarkEnd w:id="109"/>
      <w:bookmarkEnd w:id="110"/>
      <w:bookmarkEnd w:id="111"/>
      <w:bookmarkEnd w:id="112"/>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highlight w:val="none"/>
          <w14:textFill>
            <w14:solidFill>
              <w14:schemeClr w14:val="tx1"/>
            </w14:solidFill>
          </w14:textFill>
        </w:rPr>
      </w:pPr>
      <w:r>
        <w:rPr>
          <w:rFonts w:hint="eastAsia" w:ascii="仿宋_GB2312" w:hAnsi="仿宋_GB2312" w:eastAsia="仿宋_GB2312" w:cs="仿宋_GB2312"/>
          <w:color w:val="000000" w:themeColor="text1"/>
          <w:sz w:val="32"/>
          <w:szCs w:val="32"/>
          <w:highlight w:val="none"/>
          <w:lang w:eastAsia="zh-CN"/>
          <w14:textFill>
            <w14:solidFill>
              <w14:schemeClr w14:val="tx1"/>
            </w14:solidFill>
          </w14:textFill>
        </w:rPr>
        <w:t>城区</w:t>
      </w:r>
      <w:r>
        <w:rPr>
          <w:rFonts w:hint="eastAsia" w:ascii="仿宋_GB2312" w:hAnsi="仿宋_GB2312" w:eastAsia="仿宋_GB2312" w:cs="仿宋_GB2312"/>
          <w:color w:val="000000" w:themeColor="text1"/>
          <w:sz w:val="32"/>
          <w:szCs w:val="32"/>
          <w:highlight w:val="none"/>
          <w14:textFill>
            <w14:solidFill>
              <w14:schemeClr w14:val="tx1"/>
            </w14:solidFill>
          </w14:textFill>
        </w:rPr>
        <w:t>村庄分布于</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东涌</w:t>
      </w:r>
      <w:r>
        <w:rPr>
          <w:rFonts w:hint="eastAsia" w:ascii="仿宋_GB2312" w:hAnsi="仿宋_GB2312" w:eastAsia="仿宋_GB2312" w:cs="仿宋_GB2312"/>
          <w:color w:val="000000" w:themeColor="text1"/>
          <w:sz w:val="32"/>
          <w:szCs w:val="32"/>
          <w:highlight w:val="none"/>
          <w14:textFill>
            <w14:solidFill>
              <w14:schemeClr w14:val="tx1"/>
            </w14:solidFill>
          </w14:textFill>
        </w:rPr>
        <w:t>镇、</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红草</w:t>
      </w:r>
      <w:r>
        <w:rPr>
          <w:rFonts w:hint="eastAsia" w:ascii="仿宋_GB2312" w:hAnsi="仿宋_GB2312" w:eastAsia="仿宋_GB2312" w:cs="仿宋_GB2312"/>
          <w:color w:val="000000" w:themeColor="text1"/>
          <w:sz w:val="32"/>
          <w:szCs w:val="32"/>
          <w:highlight w:val="none"/>
          <w14:textFill>
            <w14:solidFill>
              <w14:schemeClr w14:val="tx1"/>
            </w14:solidFill>
          </w14:textFill>
        </w:rPr>
        <w:t>镇、</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捷胜</w:t>
      </w:r>
      <w:r>
        <w:rPr>
          <w:rFonts w:hint="eastAsia" w:ascii="仿宋_GB2312" w:hAnsi="仿宋_GB2312" w:eastAsia="仿宋_GB2312" w:cs="仿宋_GB2312"/>
          <w:color w:val="000000" w:themeColor="text1"/>
          <w:sz w:val="32"/>
          <w:szCs w:val="32"/>
          <w:highlight w:val="none"/>
          <w14:textFill>
            <w14:solidFill>
              <w14:schemeClr w14:val="tx1"/>
            </w14:solidFill>
          </w14:textFill>
        </w:rPr>
        <w:t>镇、</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凤山</w:t>
      </w:r>
      <w:r>
        <w:rPr>
          <w:rFonts w:hint="eastAsia" w:ascii="仿宋_GB2312" w:hAnsi="仿宋_GB2312" w:eastAsia="仿宋_GB2312" w:cs="仿宋_GB2312"/>
          <w:color w:val="000000" w:themeColor="text1"/>
          <w:sz w:val="32"/>
          <w:szCs w:val="32"/>
          <w:highlight w:val="none"/>
          <w14:textFill>
            <w14:solidFill>
              <w14:schemeClr w14:val="tx1"/>
            </w14:solidFill>
          </w14:textFill>
        </w:rPr>
        <w:t>街道、</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马宫街道</w:t>
      </w:r>
      <w:r>
        <w:rPr>
          <w:rFonts w:hint="eastAsia" w:ascii="仿宋_GB2312" w:hAnsi="仿宋_GB2312" w:eastAsia="仿宋_GB2312" w:cs="仿宋_GB2312"/>
          <w:color w:val="000000" w:themeColor="text1"/>
          <w:sz w:val="32"/>
          <w:szCs w:val="32"/>
          <w:highlight w:val="none"/>
          <w14:textFill>
            <w14:solidFill>
              <w14:schemeClr w14:val="tx1"/>
            </w14:solidFill>
          </w14:textFill>
        </w:rPr>
        <w:t>、</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香洲街道</w:t>
      </w:r>
      <w:r>
        <w:rPr>
          <w:rFonts w:hint="eastAsia" w:ascii="仿宋_GB2312" w:hAnsi="仿宋_GB2312" w:eastAsia="仿宋_GB2312" w:cs="仿宋_GB2312"/>
          <w:color w:val="000000" w:themeColor="text1"/>
          <w:sz w:val="32"/>
          <w:szCs w:val="32"/>
          <w:highlight w:val="none"/>
          <w14:textFill>
            <w14:solidFill>
              <w14:schemeClr w14:val="tx1"/>
            </w14:solidFill>
          </w14:textFill>
        </w:rPr>
        <w:t>、</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新港街道7</w:t>
      </w:r>
      <w:r>
        <w:rPr>
          <w:rFonts w:hint="eastAsia" w:ascii="仿宋_GB2312" w:hAnsi="仿宋_GB2312" w:eastAsia="仿宋_GB2312" w:cs="仿宋_GB2312"/>
          <w:color w:val="000000" w:themeColor="text1"/>
          <w:sz w:val="32"/>
          <w:szCs w:val="32"/>
          <w:highlight w:val="none"/>
          <w14:textFill>
            <w14:solidFill>
              <w14:schemeClr w14:val="tx1"/>
            </w14:solidFill>
          </w14:textFill>
        </w:rPr>
        <w:t>个镇（街道）。共有行政村</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59</w:t>
      </w:r>
      <w:r>
        <w:rPr>
          <w:rFonts w:hint="eastAsia" w:ascii="仿宋_GB2312" w:hAnsi="仿宋_GB2312" w:eastAsia="仿宋_GB2312" w:cs="仿宋_GB2312"/>
          <w:color w:val="000000" w:themeColor="text1"/>
          <w:sz w:val="32"/>
          <w:szCs w:val="32"/>
          <w:highlight w:val="none"/>
          <w14:textFill>
            <w14:solidFill>
              <w14:schemeClr w14:val="tx1"/>
            </w14:solidFill>
          </w14:textFill>
        </w:rPr>
        <w:t>个，自然村</w:t>
      </w:r>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158</w:t>
      </w:r>
      <w:r>
        <w:rPr>
          <w:rFonts w:hint="eastAsia" w:ascii="仿宋_GB2312" w:hAnsi="仿宋_GB2312" w:eastAsia="仿宋_GB2312" w:cs="仿宋_GB2312"/>
          <w:color w:val="000000" w:themeColor="text1"/>
          <w:sz w:val="32"/>
          <w:szCs w:val="32"/>
          <w:highlight w:val="none"/>
          <w14:textFill>
            <w14:solidFill>
              <w14:schemeClr w14:val="tx1"/>
            </w14:solidFill>
          </w14:textFill>
        </w:rPr>
        <w:t>个。</w:t>
      </w:r>
    </w:p>
    <w:p>
      <w:pPr>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（1）村庄污水治理情况</w:t>
      </w:r>
    </w:p>
    <w:p>
      <w:pPr>
        <w:pageBreakBefore w:val="0"/>
        <w:widowControl w:val="0"/>
        <w:kinsoku/>
        <w:wordWrap/>
        <w:overflowPunct/>
        <w:topLinePunct w:val="0"/>
        <w:autoSpaceDE/>
        <w:autoSpaceDN/>
        <w:bidi w:val="0"/>
        <w:adjustRightInd/>
        <w:snapToGrid/>
        <w:spacing w:line="520" w:lineRule="exact"/>
        <w:ind w:firstLine="640" w:firstLineChars="200"/>
        <w:jc w:val="both"/>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1</w:t>
      </w:r>
      <w:r>
        <w:rPr>
          <w:rFonts w:hint="eastAsia" w:ascii="仿宋_GB2312" w:hAnsi="仿宋_GB2312" w:eastAsia="仿宋_GB2312" w:cs="仿宋_GB2312"/>
          <w:sz w:val="32"/>
          <w:szCs w:val="32"/>
          <w:highlight w:val="none"/>
          <w:lang w:val="en-US" w:eastAsia="zh-CN"/>
        </w:rPr>
        <w:t>58</w:t>
      </w:r>
      <w:r>
        <w:rPr>
          <w:rFonts w:hint="eastAsia" w:ascii="仿宋_GB2312" w:hAnsi="仿宋_GB2312" w:eastAsia="仿宋_GB2312" w:cs="仿宋_GB2312"/>
          <w:sz w:val="32"/>
          <w:szCs w:val="32"/>
          <w:highlight w:val="none"/>
        </w:rPr>
        <w:t>个自然村中，共有</w:t>
      </w:r>
      <w:r>
        <w:rPr>
          <w:rFonts w:hint="eastAsia" w:ascii="仿宋_GB2312" w:hAnsi="仿宋_GB2312" w:eastAsia="仿宋_GB2312" w:cs="仿宋_GB2312"/>
          <w:sz w:val="32"/>
          <w:szCs w:val="32"/>
          <w:highlight w:val="none"/>
          <w:lang w:val="en-US" w:eastAsia="zh-CN"/>
        </w:rPr>
        <w:t>139个自然村已开展农村生活污水治理，其中76个采用建设污水处理设施模式，53个采用接入市政管网模式，10个采用资源化利用模式。共有112个自然村可认定治理完成。另有19个自然村尚未开展农村生活污水治理。</w:t>
      </w:r>
    </w:p>
    <w:p>
      <w:pPr>
        <w:pageBreakBefore w:val="0"/>
        <w:widowControl w:val="0"/>
        <w:kinsoku/>
        <w:wordWrap/>
        <w:overflowPunct/>
        <w:topLinePunct w:val="0"/>
        <w:autoSpaceDE/>
        <w:autoSpaceDN/>
        <w:bidi w:val="0"/>
        <w:adjustRightInd/>
        <w:snapToGrid/>
        <w:spacing w:line="520" w:lineRule="exact"/>
        <w:ind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lang w:val="en-US" w:eastAsia="zh-CN"/>
        </w:rPr>
        <w:t>已开展治理的139个自然村中，采用建设设施模式及纳厂模式的自然村共有129个，均已建设截污主管网，其中26个自然村已完成雨污分流管网建设，另有103个自然村接户率需进一步提升，纳入提升改造清单（见附件4）。</w:t>
      </w:r>
    </w:p>
    <w:p>
      <w:pPr>
        <w:pStyle w:val="2"/>
        <w:ind w:left="0" w:leftChars="0" w:firstLine="0" w:firstLineChars="0"/>
        <w:rPr>
          <w:rFonts w:hint="default"/>
        </w:rPr>
      </w:pPr>
      <w:r>
        <w:drawing>
          <wp:inline distT="0" distB="0" distL="114300" distR="114300">
            <wp:extent cx="5285740" cy="3171825"/>
            <wp:effectExtent l="4445" t="4445" r="5715" b="5080"/>
            <wp:docPr id="1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 xml:space="preserve">图3-1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农村生活污水治理现状</w:t>
      </w:r>
    </w:p>
    <w:p>
      <w:pPr>
        <w:pStyle w:val="35"/>
        <w:bidi w:val="0"/>
        <w:rPr>
          <w:rFonts w:hint="eastAsia" w:eastAsia="黑体"/>
          <w:lang w:val="en-US" w:eastAsia="zh-CN"/>
        </w:rPr>
      </w:pPr>
      <w:r>
        <w:drawing>
          <wp:anchor distT="0" distB="0" distL="114300" distR="114300" simplePos="0" relativeHeight="251659264" behindDoc="0" locked="0" layoutInCell="1" allowOverlap="1">
            <wp:simplePos x="0" y="0"/>
            <wp:positionH relativeFrom="column">
              <wp:posOffset>-19050</wp:posOffset>
            </wp:positionH>
            <wp:positionV relativeFrom="paragraph">
              <wp:posOffset>3388360</wp:posOffset>
            </wp:positionV>
            <wp:extent cx="1231265" cy="749935"/>
            <wp:effectExtent l="0" t="0" r="6985" b="12065"/>
            <wp:wrapNone/>
            <wp:docPr id="32"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true"/>
                    </pic:cNvPicPr>
                  </pic:nvPicPr>
                  <pic:blipFill>
                    <a:blip r:embed="rId7"/>
                    <a:stretch>
                      <a:fillRect/>
                    </a:stretch>
                  </pic:blipFill>
                  <pic:spPr>
                    <a:xfrm>
                      <a:off x="0" y="0"/>
                      <a:ext cx="1231265" cy="749935"/>
                    </a:xfrm>
                    <a:prstGeom prst="rect">
                      <a:avLst/>
                    </a:prstGeom>
                    <a:noFill/>
                    <a:ln>
                      <a:noFill/>
                    </a:ln>
                  </pic:spPr>
                </pic:pic>
              </a:graphicData>
            </a:graphic>
          </wp:anchor>
        </w:drawing>
      </w:r>
      <w:r>
        <w:drawing>
          <wp:inline distT="0" distB="0" distL="114300" distR="114300">
            <wp:extent cx="5266690" cy="4121785"/>
            <wp:effectExtent l="0" t="0" r="10160" b="12065"/>
            <wp:docPr id="1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true"/>
                    </pic:cNvPicPr>
                  </pic:nvPicPr>
                  <pic:blipFill>
                    <a:blip r:embed="rId8"/>
                    <a:stretch>
                      <a:fillRect/>
                    </a:stretch>
                  </pic:blipFill>
                  <pic:spPr>
                    <a:xfrm>
                      <a:off x="0" y="0"/>
                      <a:ext cx="5266690" cy="4121785"/>
                    </a:xfrm>
                    <a:prstGeom prst="rect">
                      <a:avLst/>
                    </a:prstGeom>
                    <a:noFill/>
                    <a:ln>
                      <a:noFill/>
                    </a:ln>
                  </pic:spPr>
                </pic:pic>
              </a:graphicData>
            </a:graphic>
          </wp:inline>
        </w:drawing>
      </w:r>
    </w:p>
    <w:p>
      <w:pPr>
        <w:pStyle w:val="35"/>
        <w:bidi w:val="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农村生活污水治理现状</w:t>
      </w:r>
      <w:r>
        <w:rPr>
          <w:rFonts w:hint="eastAsia" w:ascii="仿宋_GB2312" w:hAnsi="仿宋_GB2312" w:eastAsia="仿宋_GB2312" w:cs="仿宋_GB2312"/>
          <w:b/>
          <w:bCs/>
          <w:sz w:val="32"/>
          <w:szCs w:val="32"/>
          <w:highlight w:val="none"/>
          <w:lang w:val="en-US" w:eastAsia="zh-CN"/>
        </w:rPr>
        <w:t>图</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（2）各镇街村庄污水治理分布情况</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各个镇街开展治理的情况存在较大差异，其中捷胜镇、新港街道、香洲街道所有自然村均已开展治理，其余4个镇街开展自然村的占比均高于70%。</w:t>
      </w:r>
      <w:r>
        <w:rPr>
          <w:rFonts w:hint="eastAsia" w:ascii="仿宋_GB2312" w:hAnsi="仿宋_GB2312" w:eastAsia="仿宋_GB2312" w:cs="仿宋_GB2312"/>
          <w:sz w:val="32"/>
          <w:szCs w:val="32"/>
          <w:highlight w:val="none"/>
        </w:rPr>
        <w:t>各镇街治理现状情况详见下图。</w:t>
      </w:r>
    </w:p>
    <w:p>
      <w:pPr>
        <w:jc w:val="center"/>
        <w:rPr>
          <w:rFonts w:hint="default" w:ascii="Times New Roman" w:hAnsi="Times New Roman" w:eastAsia="宋体" w:cs="Times New Roman"/>
          <w:sz w:val="28"/>
          <w:szCs w:val="28"/>
          <w:highlight w:val="yellow"/>
        </w:rPr>
      </w:pPr>
      <w:r>
        <w:drawing>
          <wp:inline distT="0" distB="0" distL="114300" distR="114300">
            <wp:extent cx="5240655" cy="3144520"/>
            <wp:effectExtent l="4445" t="4445" r="12700" b="13335"/>
            <wp:docPr id="20"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3</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各镇街农村生活污水治理现状情况</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（3）治理模式及设施建设情况</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yellow"/>
          <w:lang w:val="en-US" w:eastAsia="zh-CN"/>
        </w:rPr>
      </w:pPr>
      <w:r>
        <w:rPr>
          <w:rFonts w:hint="eastAsia" w:ascii="仿宋_GB2312" w:hAnsi="仿宋_GB2312" w:eastAsia="仿宋_GB2312" w:cs="仿宋_GB2312"/>
          <w:sz w:val="32"/>
          <w:szCs w:val="32"/>
          <w:highlight w:val="none"/>
        </w:rPr>
        <w:t>目前</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农村生活污水治理主要是采用纳厂和建设设施治理模式。</w:t>
      </w:r>
      <w:r>
        <w:rPr>
          <w:rFonts w:hint="eastAsia" w:ascii="仿宋_GB2312" w:hAnsi="仿宋_GB2312" w:eastAsia="仿宋_GB2312" w:cs="仿宋_GB2312"/>
          <w:sz w:val="32"/>
          <w:szCs w:val="32"/>
          <w:highlight w:val="none"/>
          <w:lang w:val="en-US" w:eastAsia="zh-CN"/>
        </w:rPr>
        <w:t>已开展治理的139个村庄中，76</w:t>
      </w:r>
      <w:r>
        <w:rPr>
          <w:rFonts w:hint="eastAsia" w:ascii="仿宋_GB2312" w:hAnsi="仿宋_GB2312" w:eastAsia="仿宋_GB2312" w:cs="仿宋_GB2312"/>
          <w:sz w:val="32"/>
          <w:szCs w:val="32"/>
          <w:highlight w:val="none"/>
        </w:rPr>
        <w:t>个自然村采用建设设施模式治理</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53</w:t>
      </w:r>
      <w:r>
        <w:rPr>
          <w:rFonts w:hint="eastAsia" w:ascii="仿宋_GB2312" w:hAnsi="仿宋_GB2312" w:eastAsia="仿宋_GB2312" w:cs="仿宋_GB2312"/>
          <w:sz w:val="32"/>
          <w:szCs w:val="32"/>
          <w:highlight w:val="none"/>
        </w:rPr>
        <w:t>个</w:t>
      </w:r>
      <w:r>
        <w:rPr>
          <w:rFonts w:hint="eastAsia" w:ascii="仿宋_GB2312" w:hAnsi="仿宋_GB2312" w:eastAsia="仿宋_GB2312" w:cs="仿宋_GB2312"/>
          <w:sz w:val="32"/>
          <w:szCs w:val="32"/>
          <w:highlight w:val="none"/>
          <w:lang w:val="en-US" w:eastAsia="zh-CN"/>
        </w:rPr>
        <w:t>自然村是</w:t>
      </w:r>
      <w:r>
        <w:rPr>
          <w:rFonts w:hint="eastAsia" w:ascii="仿宋_GB2312" w:hAnsi="仿宋_GB2312" w:eastAsia="仿宋_GB2312" w:cs="仿宋_GB2312"/>
          <w:sz w:val="32"/>
          <w:szCs w:val="32"/>
          <w:highlight w:val="none"/>
        </w:rPr>
        <w:t>通过纳厂模式治理，</w:t>
      </w:r>
      <w:r>
        <w:rPr>
          <w:rFonts w:hint="eastAsia" w:ascii="仿宋_GB2312" w:hAnsi="仿宋_GB2312" w:eastAsia="仿宋_GB2312" w:cs="仿宋_GB2312"/>
          <w:sz w:val="32"/>
          <w:szCs w:val="32"/>
          <w:highlight w:val="none"/>
          <w:lang w:val="en-US" w:eastAsia="zh-CN"/>
        </w:rPr>
        <w:t>10个自然村采用资源化利用模式进行治理。</w:t>
      </w:r>
      <w:r>
        <w:rPr>
          <w:rFonts w:hint="eastAsia" w:ascii="仿宋_GB2312" w:hAnsi="仿宋_GB2312" w:eastAsia="仿宋_GB2312" w:cs="仿宋_GB2312"/>
          <w:sz w:val="32"/>
          <w:szCs w:val="32"/>
          <w:highlight w:val="none"/>
          <w:lang w:eastAsia="zh-CN"/>
        </w:rPr>
        <w:t>共计</w:t>
      </w:r>
      <w:r>
        <w:rPr>
          <w:rFonts w:hint="eastAsia" w:ascii="仿宋_GB2312" w:hAnsi="仿宋_GB2312" w:eastAsia="仿宋_GB2312" w:cs="仿宋_GB2312"/>
          <w:sz w:val="32"/>
          <w:szCs w:val="32"/>
          <w:highlight w:val="none"/>
        </w:rPr>
        <w:t>建成农村生活污水处理设施</w:t>
      </w:r>
      <w:r>
        <w:rPr>
          <w:rFonts w:hint="eastAsia" w:ascii="仿宋_GB2312" w:hAnsi="仿宋_GB2312" w:eastAsia="仿宋_GB2312" w:cs="仿宋_GB2312"/>
          <w:sz w:val="32"/>
          <w:szCs w:val="32"/>
          <w:highlight w:val="none"/>
          <w:lang w:val="en-US" w:eastAsia="zh-CN"/>
        </w:rPr>
        <w:t>58</w:t>
      </w:r>
      <w:r>
        <w:rPr>
          <w:rFonts w:hint="eastAsia" w:ascii="仿宋_GB2312" w:hAnsi="仿宋_GB2312" w:eastAsia="仿宋_GB2312" w:cs="仿宋_GB2312"/>
          <w:sz w:val="32"/>
          <w:szCs w:val="32"/>
          <w:highlight w:val="none"/>
        </w:rPr>
        <w:t>个。</w:t>
      </w:r>
      <w:r>
        <w:rPr>
          <w:rFonts w:hint="eastAsia" w:ascii="仿宋_GB2312" w:hAnsi="仿宋_GB2312" w:eastAsia="仿宋_GB2312" w:cs="仿宋_GB2312"/>
          <w:sz w:val="32"/>
          <w:szCs w:val="32"/>
          <w:highlight w:val="none"/>
          <w:lang w:val="en-US" w:eastAsia="zh-CN"/>
        </w:rPr>
        <w:t>其中香洲街道和新港街道主要通过纳厂模式处理农村生活污水，主要由于这2个镇街的自然村基本处于建成区。东涌镇和捷胜镇主要以建设设施模式为主来处理生活污水。各镇街治理模式详见下图。</w:t>
      </w:r>
    </w:p>
    <w:p>
      <w:pPr>
        <w:pStyle w:val="2"/>
        <w:ind w:left="0" w:leftChars="0" w:firstLine="0" w:firstLineChars="0"/>
        <w:rPr>
          <w:rFonts w:hint="default"/>
        </w:rPr>
      </w:pPr>
      <w:r>
        <w:drawing>
          <wp:inline distT="0" distB="0" distL="114300" distR="114300">
            <wp:extent cx="5237480" cy="3142615"/>
            <wp:effectExtent l="5080" t="4445" r="15240" b="15240"/>
            <wp:docPr id="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pPr>
        <w:pStyle w:val="35"/>
        <w:bidi w:val="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4</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各镇街农村生活污水治理模式情况</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w:t>
      </w:r>
      <w:r>
        <w:rPr>
          <w:rFonts w:hint="eastAsia" w:ascii="仿宋_GB2312" w:hAnsi="仿宋_GB2312" w:eastAsia="仿宋_GB2312" w:cs="仿宋_GB2312"/>
          <w:b/>
          <w:bCs/>
          <w:sz w:val="32"/>
          <w:szCs w:val="32"/>
          <w:highlight w:val="none"/>
          <w:lang w:val="en-US" w:eastAsia="zh-CN"/>
        </w:rPr>
        <w:t>4</w:t>
      </w:r>
      <w:r>
        <w:rPr>
          <w:rFonts w:hint="eastAsia" w:ascii="仿宋_GB2312" w:hAnsi="仿宋_GB2312" w:eastAsia="仿宋_GB2312" w:cs="仿宋_GB2312"/>
          <w:b/>
          <w:bCs/>
          <w:sz w:val="32"/>
          <w:szCs w:val="32"/>
          <w:highlight w:val="none"/>
        </w:rPr>
        <w:t>）村庄污水治理详情及未治理村庄分布情况</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各镇街农村生活污水治理现状详情及未治理自然村分布情况详见下表。</w:t>
      </w:r>
      <w:r>
        <w:rPr>
          <w:rFonts w:hint="eastAsia" w:ascii="仿宋_GB2312" w:hAnsi="仿宋_GB2312" w:eastAsia="仿宋_GB2312" w:cs="仿宋_GB2312"/>
          <w:sz w:val="32"/>
          <w:szCs w:val="32"/>
          <w:highlight w:val="none"/>
          <w:lang w:val="en-US" w:eastAsia="zh-CN"/>
        </w:rPr>
        <w:t xml:space="preserve"> </w:t>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3</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农村生活污水治理现状汇总表</w:t>
      </w:r>
    </w:p>
    <w:tbl>
      <w:tblPr>
        <w:tblStyle w:val="20"/>
        <w:tblW w:w="52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29"/>
        <w:gridCol w:w="919"/>
        <w:gridCol w:w="915"/>
        <w:gridCol w:w="1519"/>
        <w:gridCol w:w="1519"/>
        <w:gridCol w:w="1540"/>
        <w:gridCol w:w="1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31"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镇街</w:t>
            </w:r>
          </w:p>
        </w:tc>
        <w:tc>
          <w:tcPr>
            <w:tcW w:w="513"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行政村</w:t>
            </w:r>
          </w:p>
        </w:tc>
        <w:tc>
          <w:tcPr>
            <w:tcW w:w="511"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w:t>
            </w:r>
          </w:p>
        </w:tc>
        <w:tc>
          <w:tcPr>
            <w:tcW w:w="2556" w:type="pct"/>
            <w:gridSpan w:val="3"/>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已开展治理的自然村</w:t>
            </w:r>
          </w:p>
        </w:tc>
        <w:tc>
          <w:tcPr>
            <w:tcW w:w="787"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未开展治理的自然村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1"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513"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511"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纳厂</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建设设施</w:t>
            </w:r>
          </w:p>
        </w:tc>
        <w:tc>
          <w:tcPr>
            <w:tcW w:w="859"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资源化利用</w:t>
            </w:r>
          </w:p>
        </w:tc>
        <w:tc>
          <w:tcPr>
            <w:tcW w:w="787"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红草镇</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14</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55</w:t>
            </w:r>
          </w:p>
        </w:tc>
        <w:tc>
          <w:tcPr>
            <w:tcW w:w="848"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24</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18</w:t>
            </w:r>
          </w:p>
        </w:tc>
        <w:tc>
          <w:tcPr>
            <w:tcW w:w="859"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东涌镇</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15</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40</w:t>
            </w:r>
          </w:p>
        </w:tc>
        <w:tc>
          <w:tcPr>
            <w:tcW w:w="848"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6</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28</w:t>
            </w:r>
          </w:p>
        </w:tc>
        <w:tc>
          <w:tcPr>
            <w:tcW w:w="859"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捷胜镇</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14</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27</w:t>
            </w:r>
          </w:p>
        </w:tc>
        <w:tc>
          <w:tcPr>
            <w:tcW w:w="848"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8</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15</w:t>
            </w:r>
          </w:p>
        </w:tc>
        <w:tc>
          <w:tcPr>
            <w:tcW w:w="859"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马宫街道</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6</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23</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9</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13</w:t>
            </w:r>
          </w:p>
        </w:tc>
        <w:tc>
          <w:tcPr>
            <w:tcW w:w="859"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凤山街道</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3</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848"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859"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香洲街道</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859"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新港街道</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w:t>
            </w:r>
          </w:p>
        </w:tc>
        <w:tc>
          <w:tcPr>
            <w:tcW w:w="848" w:type="pct"/>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3</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859"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合计</w:t>
            </w:r>
          </w:p>
        </w:tc>
        <w:tc>
          <w:tcPr>
            <w:tcW w:w="51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59</w:t>
            </w:r>
          </w:p>
        </w:tc>
        <w:tc>
          <w:tcPr>
            <w:tcW w:w="51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158</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53</w:t>
            </w:r>
          </w:p>
        </w:tc>
        <w:tc>
          <w:tcPr>
            <w:tcW w:w="84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76</w:t>
            </w:r>
          </w:p>
        </w:tc>
        <w:tc>
          <w:tcPr>
            <w:tcW w:w="859"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w:t>
            </w:r>
          </w:p>
        </w:tc>
        <w:tc>
          <w:tcPr>
            <w:tcW w:w="78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19</w:t>
            </w:r>
          </w:p>
        </w:tc>
      </w:tr>
    </w:tbl>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116" w:name="_Toc2293"/>
      <w:r>
        <w:rPr>
          <w:rFonts w:hint="eastAsia" w:ascii="仿宋_GB2312" w:hAnsi="仿宋_GB2312" w:eastAsia="仿宋_GB2312" w:cs="仿宋_GB2312"/>
          <w:sz w:val="32"/>
          <w:szCs w:val="32"/>
          <w:highlight w:val="none"/>
          <w:lang w:val="en-US" w:eastAsia="zh-CN"/>
        </w:rPr>
        <w:t>2.</w:t>
      </w:r>
      <w:r>
        <w:rPr>
          <w:rFonts w:hint="eastAsia" w:ascii="仿宋_GB2312" w:hAnsi="仿宋_GB2312" w:eastAsia="仿宋_GB2312" w:cs="仿宋_GB2312"/>
          <w:sz w:val="32"/>
          <w:szCs w:val="32"/>
          <w:highlight w:val="none"/>
        </w:rPr>
        <w:t>各镇街农村生活污水治理现状</w:t>
      </w:r>
      <w:bookmarkEnd w:id="113"/>
      <w:bookmarkEnd w:id="114"/>
      <w:bookmarkEnd w:id="115"/>
      <w:bookmarkEnd w:id="116"/>
    </w:p>
    <w:p>
      <w:pPr>
        <w:pStyle w:val="7"/>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1</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红草镇</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红草镇，隶属于广东省汕尾市城区，位于城区北部，距市区中心约11千米，东接城区东涌镇，香洲街道，西靠长沙湾，北与海丰县陶河镇接壤，南临城区马宫街道，是城区的政治、经济、交通、商贸、农业中心镇。区域总面积69.8平方千米。红草镇共辖1个社区、14个行政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共有55个自然村</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红草镇目前的农村生活污水主要是通过建设设施模式和纳厂模式进行治理，已有43个自然村开展治理，其中18个自然村采用建设设施模式，共建有8座污水处理设施，24个自然村采用纳厂模式进行治理，另有1个自然村采用资源化利用模式进行治理。治理现状见下图表。</w:t>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4</w:t>
      </w:r>
      <w:r>
        <w:rPr>
          <w:rFonts w:hint="eastAsia" w:ascii="仿宋_GB2312" w:hAnsi="仿宋_GB2312" w:eastAsia="仿宋_GB2312" w:cs="仿宋_GB2312"/>
          <w:b/>
          <w:bCs/>
          <w:sz w:val="32"/>
          <w:szCs w:val="32"/>
          <w:highlight w:val="none"/>
        </w:rPr>
        <w:t xml:space="preserve"> 红草镇农村生活污水治理现状</w:t>
      </w:r>
    </w:p>
    <w:tbl>
      <w:tblPr>
        <w:tblStyle w:val="20"/>
        <w:tblW w:w="54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803"/>
        <w:gridCol w:w="881"/>
        <w:gridCol w:w="884"/>
        <w:gridCol w:w="878"/>
        <w:gridCol w:w="874"/>
        <w:gridCol w:w="874"/>
        <w:gridCol w:w="1168"/>
        <w:gridCol w:w="1347"/>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44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序号</w:t>
            </w:r>
          </w:p>
        </w:tc>
        <w:tc>
          <w:tcPr>
            <w:tcW w:w="485"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行政村</w:t>
            </w:r>
          </w:p>
        </w:tc>
        <w:tc>
          <w:tcPr>
            <w:tcW w:w="48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自然村数量</w:t>
            </w:r>
          </w:p>
        </w:tc>
        <w:tc>
          <w:tcPr>
            <w:tcW w:w="48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自然村</w:t>
            </w:r>
          </w:p>
        </w:tc>
        <w:tc>
          <w:tcPr>
            <w:tcW w:w="48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户籍人口</w:t>
            </w:r>
          </w:p>
        </w:tc>
        <w:tc>
          <w:tcPr>
            <w:tcW w:w="48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常住人口</w:t>
            </w:r>
          </w:p>
        </w:tc>
        <w:tc>
          <w:tcPr>
            <w:tcW w:w="64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治理模式</w:t>
            </w:r>
          </w:p>
        </w:tc>
        <w:tc>
          <w:tcPr>
            <w:tcW w:w="74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kern w:val="0"/>
                <w:sz w:val="21"/>
                <w:szCs w:val="21"/>
                <w:highlight w:val="none"/>
                <w:u w:val="none"/>
                <w:lang w:val="en-US" w:eastAsia="zh-CN" w:bidi="ar"/>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设计处理规模</w:t>
            </w:r>
          </w:p>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（m³/d）</w:t>
            </w:r>
          </w:p>
        </w:tc>
        <w:tc>
          <w:tcPr>
            <w:tcW w:w="75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90" w:lineRule="exact"/>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12"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48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48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48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b/>
                <w:bCs/>
                <w:i w:val="0"/>
                <w:iCs w:val="0"/>
                <w:color w:val="000000"/>
                <w:sz w:val="21"/>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辰洲村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新片</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530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231</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100</w:t>
            </w: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前片</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560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340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后片</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667</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470</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50</w:t>
            </w: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c>
          <w:tcPr>
            <w:tcW w:w="485"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光明村</w:t>
            </w:r>
          </w:p>
        </w:tc>
        <w:tc>
          <w:tcPr>
            <w:tcW w:w="487"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梧厝埔</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421</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215</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20</w:t>
            </w: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海梧村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南坑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423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131</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20</w:t>
            </w: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竹山</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296</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113</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100</w:t>
            </w: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前埔</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725</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98</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后湾</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590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158</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新厝</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554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137</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中乡</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761</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119</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径口村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金凤池</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263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70</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田中央</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623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220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径口</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1270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650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南汾村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一村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868</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674</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二村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971</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729</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三村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1222</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941</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四村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839</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641</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五村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1335</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990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六村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704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543</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七村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1624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1207</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7"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八村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333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241</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埔边村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石联</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563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553</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502</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512</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桂星</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94</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西二</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318</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301</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西三</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314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298</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default" w:ascii="Times New Roman" w:hAnsi="Times New Roman" w:eastAsia="宋体" w:cs="Times New Roman"/>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三联</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237</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274</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w:t>
            </w:r>
          </w:p>
        </w:tc>
        <w:tc>
          <w:tcPr>
            <w:tcW w:w="485"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青山村</w:t>
            </w:r>
          </w:p>
        </w:tc>
        <w:tc>
          <w:tcPr>
            <w:tcW w:w="487"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南洋</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1246</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616</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c>
          <w:tcPr>
            <w:tcW w:w="485"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三和村</w:t>
            </w:r>
          </w:p>
        </w:tc>
        <w:tc>
          <w:tcPr>
            <w:tcW w:w="487"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大寮</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1708</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550</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90" w:hRule="atLeast"/>
          <w:jc w:val="center"/>
        </w:trPr>
        <w:tc>
          <w:tcPr>
            <w:tcW w:w="4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w:t>
            </w:r>
          </w:p>
        </w:tc>
        <w:tc>
          <w:tcPr>
            <w:tcW w:w="485"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拾和村</w:t>
            </w:r>
          </w:p>
        </w:tc>
        <w:tc>
          <w:tcPr>
            <w:tcW w:w="487"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夏村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1163</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881</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0"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梧围村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横堂</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490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116</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150</w:t>
            </w: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后寮</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160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96</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东寮</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510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157</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0"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大乡</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1300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466</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五雅村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春雅</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181</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56</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30</w:t>
            </w: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坑美</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562</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172</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上陂</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610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203</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吉坑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192</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31</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资源化利用</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w:t>
            </w:r>
          </w:p>
        </w:tc>
        <w:tc>
          <w:tcPr>
            <w:tcW w:w="485"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西河村</w:t>
            </w:r>
          </w:p>
        </w:tc>
        <w:tc>
          <w:tcPr>
            <w:tcW w:w="487"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西门</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1400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620</w:t>
            </w:r>
          </w:p>
        </w:tc>
        <w:tc>
          <w:tcPr>
            <w:tcW w:w="643"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纳厂</w:t>
            </w:r>
          </w:p>
        </w:tc>
        <w:tc>
          <w:tcPr>
            <w:tcW w:w="742"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restar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桥余</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398</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178</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新町</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394</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210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75" w:hRule="atLeast"/>
          <w:jc w:val="center"/>
        </w:trPr>
        <w:tc>
          <w:tcPr>
            <w:tcW w:w="4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5"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7"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桥吴</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770</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350</w:t>
            </w:r>
          </w:p>
        </w:tc>
        <w:tc>
          <w:tcPr>
            <w:tcW w:w="643"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42"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751" w:type="pct"/>
            <w:vMerge w:val="continue"/>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0" w:hRule="atLeast"/>
          <w:jc w:val="center"/>
        </w:trPr>
        <w:tc>
          <w:tcPr>
            <w:tcW w:w="4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w:t>
            </w:r>
          </w:p>
        </w:tc>
        <w:tc>
          <w:tcPr>
            <w:tcW w:w="485"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新村村</w:t>
            </w:r>
          </w:p>
        </w:tc>
        <w:tc>
          <w:tcPr>
            <w:tcW w:w="487"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8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新村</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1218</w:t>
            </w:r>
          </w:p>
        </w:tc>
        <w:tc>
          <w:tcPr>
            <w:tcW w:w="48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662</w:t>
            </w:r>
          </w:p>
        </w:tc>
        <w:tc>
          <w:tcPr>
            <w:tcW w:w="643"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建设设施</w:t>
            </w:r>
          </w:p>
        </w:tc>
        <w:tc>
          <w:tcPr>
            <w:tcW w:w="742"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80</w:t>
            </w:r>
          </w:p>
        </w:tc>
        <w:tc>
          <w:tcPr>
            <w:tcW w:w="751" w:type="pct"/>
            <w:shd w:val="clear" w:color="auto" w:fill="auto"/>
            <w:vAlign w:val="center"/>
          </w:tcPr>
          <w:p>
            <w:pPr>
              <w:keepNext w:val="0"/>
              <w:keepLines w:val="0"/>
              <w:pageBreakBefore w:val="0"/>
              <w:kinsoku/>
              <w:wordWrap/>
              <w:overflowPunct/>
              <w:topLinePunct w:val="0"/>
              <w:autoSpaceDE/>
              <w:autoSpaceDN/>
              <w:bidi w:val="0"/>
              <w:adjustRightInd/>
              <w:snapToGrid/>
              <w:spacing w:line="290" w:lineRule="exact"/>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sz w:val="21"/>
                <w:szCs w:val="21"/>
                <w:highlight w:val="none"/>
                <w:lang w:val="en-US" w:eastAsia="zh-CN"/>
              </w:rPr>
              <w:t>AAO+BAF</w:t>
            </w:r>
          </w:p>
        </w:tc>
      </w:tr>
    </w:tbl>
    <w:p>
      <w:pPr>
        <w:bidi w:val="0"/>
      </w:pPr>
    </w:p>
    <w:p>
      <w:pPr>
        <w:bidi w:val="0"/>
      </w:pPr>
      <w:r>
        <w:drawing>
          <wp:anchor distT="0" distB="0" distL="114300" distR="114300" simplePos="0" relativeHeight="251660288" behindDoc="0" locked="0" layoutInCell="1" allowOverlap="1">
            <wp:simplePos x="0" y="0"/>
            <wp:positionH relativeFrom="column">
              <wp:posOffset>4163060</wp:posOffset>
            </wp:positionH>
            <wp:positionV relativeFrom="paragraph">
              <wp:posOffset>2683510</wp:posOffset>
            </wp:positionV>
            <wp:extent cx="1101090" cy="670560"/>
            <wp:effectExtent l="0" t="0" r="3810" b="15240"/>
            <wp:wrapNone/>
            <wp:docPr id="33"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true"/>
                    </pic:cNvPicPr>
                  </pic:nvPicPr>
                  <pic:blipFill>
                    <a:blip r:embed="rId7"/>
                    <a:stretch>
                      <a:fillRect/>
                    </a:stretch>
                  </pic:blipFill>
                  <pic:spPr>
                    <a:xfrm>
                      <a:off x="0" y="0"/>
                      <a:ext cx="1101090" cy="670560"/>
                    </a:xfrm>
                    <a:prstGeom prst="rect">
                      <a:avLst/>
                    </a:prstGeom>
                    <a:noFill/>
                    <a:ln>
                      <a:noFill/>
                    </a:ln>
                  </pic:spPr>
                </pic:pic>
              </a:graphicData>
            </a:graphic>
          </wp:anchor>
        </w:drawing>
      </w:r>
      <w:r>
        <w:drawing>
          <wp:inline distT="0" distB="0" distL="114300" distR="114300">
            <wp:extent cx="5266690" cy="3331845"/>
            <wp:effectExtent l="0" t="0" r="10160" b="1905"/>
            <wp:docPr id="30"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true"/>
                    </pic:cNvPicPr>
                  </pic:nvPicPr>
                  <pic:blipFill>
                    <a:blip r:embed="rId11"/>
                    <a:stretch>
                      <a:fillRect/>
                    </a:stretch>
                  </pic:blipFill>
                  <pic:spPr>
                    <a:xfrm>
                      <a:off x="0" y="0"/>
                      <a:ext cx="5266690" cy="3331845"/>
                    </a:xfrm>
                    <a:prstGeom prst="rect">
                      <a:avLst/>
                    </a:prstGeom>
                    <a:noFill/>
                    <a:ln>
                      <a:noFill/>
                    </a:ln>
                  </pic:spPr>
                </pic:pic>
              </a:graphicData>
            </a:graphic>
          </wp:inline>
        </w:drawing>
      </w:r>
    </w:p>
    <w:p>
      <w:pPr>
        <w:pStyle w:val="35"/>
        <w:bidi w:val="0"/>
        <w:rPr>
          <w:rFonts w:hint="eastAsia" w:eastAsia="黑体"/>
          <w:lang w:val="en-US" w:eastAsia="zh-CN"/>
        </w:rPr>
      </w:pPr>
      <w:r>
        <w:rPr>
          <w:rFonts w:hint="eastAsia"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5</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红草镇</w:t>
      </w:r>
      <w:r>
        <w:rPr>
          <w:rFonts w:hint="eastAsia"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7"/>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东涌镇</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东涌镇，广东省汕尾市</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"https://baike.baidu.com/item/%E5%9F%8E%E5%8C%BA/5517710"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城区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辖镇，位于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"https://baike.baidu.com/item/%E6%B1%95%E5%B0%BE%E5%B8%82/4364209"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汕尾市</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城区东北部，濒临</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"https://baike.baidu.com/item/%E5%93%81%E6%B8%85%E6%B9%96/8956153"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品清湖</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，东与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"https://baike.baidu.com/item/%E7%BA%A2%E6%B5%B7%E6%B9%BE/6072067"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红海湾</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开发区毗邻，西与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"https://baike.baidu.com/item/%E6%B1%95%E5%B0%BE%E5%B8%82%E5%8C%BA/14143059"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汕尾市区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接壤，南与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"https://baike.baidu.com/item/%E6%8D%B7%E8%83%9C%E9%95%87/4590301"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捷胜镇</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相连，北与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"https://baike.baidu.com/item/%E6%B5%B7%E4%B8%B0%E5%8E%BF/78785" \t "https://baike.baidu.com/item/%E4%B8%9C%E6%B6%8C%E9%95%87/_blank"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海丰县</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交界。总面积103平方千米。东涌镇共辖</w:t>
      </w:r>
      <w:r>
        <w:rPr>
          <w:rFonts w:hint="eastAsia" w:ascii="仿宋_GB2312" w:hAnsi="仿宋_GB2312" w:eastAsia="仿宋_GB2312" w:cs="仿宋_GB2312"/>
          <w:sz w:val="32"/>
          <w:szCs w:val="32"/>
          <w:highlight w:val="none"/>
          <w:lang w:val="en-US" w:eastAsia="zh-CN"/>
        </w:rPr>
        <w:t>2个社区、</w:t>
      </w:r>
      <w:r>
        <w:rPr>
          <w:rFonts w:hint="eastAsia" w:ascii="仿宋_GB2312" w:hAnsi="仿宋_GB2312" w:eastAsia="仿宋_GB2312" w:cs="仿宋_GB2312"/>
          <w:sz w:val="32"/>
          <w:szCs w:val="32"/>
          <w:highlight w:val="none"/>
        </w:rPr>
        <w:t>15个行政村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共有自然村40个。东涌镇目前的农村生活污水主要通过建设设施模式和纳厂模式进行治理，已有35个自然村开展治理，其中6个自然村采用纳厂模式，28个自然村采用建设设施模式，共建有28座设施，另有1个自然村采用资源化利用模式。治理现状见下图表。</w:t>
      </w: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5</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东涌镇</w:t>
      </w:r>
      <w:r>
        <w:rPr>
          <w:rFonts w:hint="eastAsia" w:ascii="仿宋_GB2312" w:hAnsi="仿宋_GB2312" w:eastAsia="仿宋_GB2312" w:cs="仿宋_GB2312"/>
          <w:b/>
          <w:bCs/>
          <w:sz w:val="32"/>
          <w:szCs w:val="32"/>
          <w:highlight w:val="none"/>
        </w:rPr>
        <w:t>农村生活污水治理现状</w:t>
      </w:r>
    </w:p>
    <w:tbl>
      <w:tblPr>
        <w:tblStyle w:val="20"/>
        <w:tblW w:w="52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34"/>
        <w:gridCol w:w="724"/>
        <w:gridCol w:w="836"/>
        <w:gridCol w:w="708"/>
        <w:gridCol w:w="673"/>
        <w:gridCol w:w="757"/>
        <w:gridCol w:w="1137"/>
        <w:gridCol w:w="1485"/>
        <w:gridCol w:w="1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序号</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行政村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自然村数量</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自然村</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户籍</w:t>
            </w:r>
          </w:p>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常住</w:t>
            </w:r>
          </w:p>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安华村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郭厝寮</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1321</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104</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大塘美</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1132</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106</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石奎</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704</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宝楼村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宝楼</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2194</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201</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赤古村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东赤</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2280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1950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东吴</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466</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335</w:t>
            </w:r>
          </w:p>
        </w:tc>
        <w:tc>
          <w:tcPr>
            <w:tcW w:w="655"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1"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东朱</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490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370</w:t>
            </w:r>
          </w:p>
        </w:tc>
        <w:tc>
          <w:tcPr>
            <w:tcW w:w="655"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856"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东古</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1309</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858</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东石村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石奎</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1583</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951</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虎头兰</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1198</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860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大园</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678</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320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崎坑</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455</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大陂头</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825</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577</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东涌村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东涌</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14962</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15064</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洪流村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长富</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1303</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803</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町前</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1501</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682</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龙溪村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龙溪</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5200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3509</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民群村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花树</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649</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89</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大船路</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580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56</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石厝</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841</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336</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鲎山</w:t>
            </w:r>
          </w:p>
        </w:tc>
        <w:tc>
          <w:tcPr>
            <w:tcW w:w="388" w:type="pct"/>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331</w:t>
            </w:r>
          </w:p>
        </w:tc>
        <w:tc>
          <w:tcPr>
            <w:tcW w:w="436" w:type="pct"/>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品清村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品清</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7396</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6487</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石洲村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石洲</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2503</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898</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160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新安村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流口</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3403</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2721</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青龙头</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1976</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1384</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423"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12</w:t>
            </w:r>
          </w:p>
        </w:tc>
        <w:tc>
          <w:tcPr>
            <w:tcW w:w="417"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新地村</w:t>
            </w:r>
          </w:p>
        </w:tc>
        <w:tc>
          <w:tcPr>
            <w:tcW w:w="482"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新地</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3506</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3370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新湖村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湖田</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1250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871</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桂青</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1030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690</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三联</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670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421</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半寨</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199</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东家冲</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950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665</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红山</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820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574</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定家声</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680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478</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 w:hRule="atLeast"/>
          <w:jc w:val="center"/>
        </w:trPr>
        <w:tc>
          <w:tcPr>
            <w:tcW w:w="423"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14</w:t>
            </w:r>
          </w:p>
        </w:tc>
        <w:tc>
          <w:tcPr>
            <w:tcW w:w="417"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新民村</w:t>
            </w:r>
          </w:p>
        </w:tc>
        <w:tc>
          <w:tcPr>
            <w:tcW w:w="482"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埔尾</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2265</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1585</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3" w:hRule="atLeast"/>
          <w:jc w:val="center"/>
        </w:trPr>
        <w:tc>
          <w:tcPr>
            <w:tcW w:w="423"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p>
        </w:tc>
        <w:tc>
          <w:tcPr>
            <w:tcW w:w="40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建茶</w:t>
            </w:r>
          </w:p>
        </w:tc>
        <w:tc>
          <w:tcPr>
            <w:tcW w:w="388"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1280</w:t>
            </w:r>
          </w:p>
        </w:tc>
        <w:tc>
          <w:tcPr>
            <w:tcW w:w="43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774</w:t>
            </w:r>
          </w:p>
        </w:tc>
        <w:tc>
          <w:tcPr>
            <w:tcW w:w="655"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56"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30</w:t>
            </w:r>
          </w:p>
        </w:tc>
        <w:tc>
          <w:tcPr>
            <w:tcW w:w="931"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25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bl>
    <w:p>
      <w:pPr>
        <w:bidi w:val="0"/>
        <w:rPr>
          <w:rFonts w:hint="default"/>
        </w:rPr>
      </w:pPr>
      <w:r>
        <w:drawing>
          <wp:anchor distT="0" distB="0" distL="114300" distR="114300" simplePos="0" relativeHeight="251661312" behindDoc="0" locked="0" layoutInCell="1" allowOverlap="1">
            <wp:simplePos x="0" y="0"/>
            <wp:positionH relativeFrom="column">
              <wp:posOffset>-1905</wp:posOffset>
            </wp:positionH>
            <wp:positionV relativeFrom="paragraph">
              <wp:posOffset>3197860</wp:posOffset>
            </wp:positionV>
            <wp:extent cx="1101090" cy="670560"/>
            <wp:effectExtent l="0" t="0" r="3810" b="15240"/>
            <wp:wrapNone/>
            <wp:docPr id="3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true"/>
                    </pic:cNvPicPr>
                  </pic:nvPicPr>
                  <pic:blipFill>
                    <a:blip r:embed="rId7"/>
                    <a:stretch>
                      <a:fillRect/>
                    </a:stretch>
                  </pic:blipFill>
                  <pic:spPr>
                    <a:xfrm>
                      <a:off x="0" y="0"/>
                      <a:ext cx="1101090" cy="670560"/>
                    </a:xfrm>
                    <a:prstGeom prst="rect">
                      <a:avLst/>
                    </a:prstGeom>
                    <a:noFill/>
                    <a:ln>
                      <a:noFill/>
                    </a:ln>
                  </pic:spPr>
                </pic:pic>
              </a:graphicData>
            </a:graphic>
          </wp:anchor>
        </w:drawing>
      </w:r>
      <w:r>
        <w:drawing>
          <wp:inline distT="0" distB="0" distL="114300" distR="114300">
            <wp:extent cx="5273040" cy="3776980"/>
            <wp:effectExtent l="0" t="0" r="3810" b="13970"/>
            <wp:docPr id="2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true"/>
                    </pic:cNvPicPr>
                  </pic:nvPicPr>
                  <pic:blipFill>
                    <a:blip r:embed="rId12"/>
                    <a:stretch>
                      <a:fillRect/>
                    </a:stretch>
                  </pic:blipFill>
                  <pic:spPr>
                    <a:xfrm>
                      <a:off x="0" y="0"/>
                      <a:ext cx="5273040" cy="3776980"/>
                    </a:xfrm>
                    <a:prstGeom prst="rect">
                      <a:avLst/>
                    </a:prstGeom>
                    <a:noFill/>
                    <a:ln>
                      <a:noFill/>
                    </a:ln>
                  </pic:spPr>
                </pic:pic>
              </a:graphicData>
            </a:graphic>
          </wp:inline>
        </w:drawing>
      </w:r>
    </w:p>
    <w:p>
      <w:pPr>
        <w:pStyle w:val="35"/>
        <w:pageBreakBefore w:val="0"/>
        <w:widowControl w:val="0"/>
        <w:kinsoku/>
        <w:wordWrap/>
        <w:overflowPunct/>
        <w:topLinePunct w:val="0"/>
        <w:autoSpaceDE/>
        <w:autoSpaceDN/>
        <w:bidi w:val="0"/>
        <w:adjustRightInd/>
        <w:snapToGrid/>
        <w:spacing w:line="620" w:lineRule="exact"/>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6</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东涌镇</w:t>
      </w:r>
      <w:r>
        <w:rPr>
          <w:rFonts w:hint="eastAsia"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7"/>
        <w:keepNext/>
        <w:keepLines/>
        <w:pageBreakBefore w:val="0"/>
        <w:widowControl w:val="0"/>
        <w:kinsoku/>
        <w:wordWrap/>
        <w:overflowPunct/>
        <w:topLinePunct w:val="0"/>
        <w:autoSpaceDE/>
        <w:autoSpaceDN/>
        <w:bidi w:val="0"/>
        <w:adjustRightInd/>
        <w:snapToGrid/>
        <w:spacing w:before="0" w:after="0" w:line="6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3</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捷胜镇</w:t>
      </w:r>
    </w:p>
    <w:p>
      <w:pPr>
        <w:pageBreakBefore w:val="0"/>
        <w:widowControl w:val="0"/>
        <w:kinsoku/>
        <w:wordWrap/>
        <w:overflowPunct/>
        <w:topLinePunct w:val="0"/>
        <w:autoSpaceDE/>
        <w:autoSpaceDN/>
        <w:bidi w:val="0"/>
        <w:adjustRightInd/>
        <w:snapToGrid/>
        <w:spacing w:line="6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捷胜镇，广东省</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"https://baike.baidu.com/item/%E6%B1%95%E5%B0%BE%E5%B8%82/4364209"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汕尾市</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城区辖镇，位于汕尾市</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"https://baike.baidu.com/item/%E5%9F%8E%E5%8C%BA/5517710"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城区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东南侧红海湾畔，距汕尾市区18千米，东与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"https://baike.baidu.com/item/%E7%BA%A2%E6%B5%B7%E6%B9%BE/6072067"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红海湾</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经济开发区毗邻，西与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"https://baike.baidu.com/item/%E6%96%B0%E6%B8%AF%E8%A1%97%E9%81%93/27974"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新港街道</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大华半岛接壤，北与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"https://baike.baidu.com/item/%E4%B8%9C%E6%B6%8C%E9%95%87/11507"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东涌镇</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连接，南濒</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"https://baike.baidu.com/item/%E5%8D%97%E6%B5%B7/27429" \t "https://baike.baidu.com/item/%E6%8D%B7%E8%83%9C%E9%95%87/_blank"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南海</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，区域总面积52平方千米。捷胜镇共辖4个社区、14个行政村，</w:t>
      </w:r>
      <w:r>
        <w:rPr>
          <w:rFonts w:hint="eastAsia" w:ascii="仿宋_GB2312" w:hAnsi="仿宋_GB2312" w:eastAsia="仿宋_GB2312" w:cs="仿宋_GB2312"/>
          <w:sz w:val="32"/>
          <w:szCs w:val="32"/>
          <w:highlight w:val="none"/>
          <w:lang w:val="en-US" w:eastAsia="zh-CN"/>
        </w:rPr>
        <w:t>共有27个自然村。捷胜镇目前的农村生活污水主要通过建设设施模式和纳厂模式进行治理，27个村均已开展治理，其中15个自然村采用建设设施模式，共建有设施12座，8个自然村采用纳厂模式，另有4个自然村采用资源化利用模式。治理现状见下图表。</w:t>
      </w:r>
    </w:p>
    <w:p>
      <w:pPr>
        <w:pStyle w:val="35"/>
        <w:bidi w:val="0"/>
        <w:rPr>
          <w:rFonts w:hint="eastAsia" w:ascii="仿宋_GB2312" w:hAnsi="仿宋_GB2312" w:eastAsia="仿宋_GB2312" w:cs="仿宋_GB2312"/>
          <w:b/>
          <w:bCs/>
          <w:sz w:val="32"/>
          <w:szCs w:val="32"/>
          <w:highlight w:val="none"/>
        </w:rPr>
      </w:pPr>
    </w:p>
    <w:p>
      <w:pPr>
        <w:pStyle w:val="35"/>
        <w:bidi w:val="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6</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捷胜镇</w:t>
      </w:r>
      <w:r>
        <w:rPr>
          <w:rFonts w:hint="eastAsia" w:ascii="仿宋_GB2312" w:hAnsi="仿宋_GB2312" w:eastAsia="仿宋_GB2312" w:cs="仿宋_GB2312"/>
          <w:b/>
          <w:bCs/>
          <w:sz w:val="32"/>
          <w:szCs w:val="32"/>
          <w:highlight w:val="none"/>
        </w:rPr>
        <w:t>农村生活污水治理现状</w:t>
      </w:r>
    </w:p>
    <w:tbl>
      <w:tblPr>
        <w:tblStyle w:val="20"/>
        <w:tblW w:w="50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725"/>
        <w:gridCol w:w="837"/>
        <w:gridCol w:w="708"/>
        <w:gridCol w:w="673"/>
        <w:gridCol w:w="757"/>
        <w:gridCol w:w="1204"/>
        <w:gridCol w:w="1545"/>
        <w:gridCol w:w="1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序号</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行政村</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自然村数量</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自然村</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户籍</w:t>
            </w:r>
          </w:p>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常住</w:t>
            </w:r>
          </w:p>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大流</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大流</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3700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1800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东坑</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东坑</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3050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450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军船头</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军船头</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2535</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1568</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联安</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联安</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2788</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1050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联星</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联星</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1505</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900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南门外</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南门外</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3044</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968</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牛肚</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牛肚</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1550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400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w:t>
            </w:r>
          </w:p>
        </w:tc>
        <w:tc>
          <w:tcPr>
            <w:tcW w:w="430"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埔尾</w:t>
            </w:r>
          </w:p>
        </w:tc>
        <w:tc>
          <w:tcPr>
            <w:tcW w:w="496"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埔尾</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2888</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芴仔</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200</w:t>
            </w:r>
          </w:p>
        </w:tc>
        <w:tc>
          <w:tcPr>
            <w:tcW w:w="714"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0"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公顶</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600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150</w:t>
            </w:r>
          </w:p>
        </w:tc>
        <w:tc>
          <w:tcPr>
            <w:tcW w:w="714"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17"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41"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w:t>
            </w:r>
          </w:p>
        </w:tc>
        <w:tc>
          <w:tcPr>
            <w:tcW w:w="430"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前进</w:t>
            </w:r>
          </w:p>
        </w:tc>
        <w:tc>
          <w:tcPr>
            <w:tcW w:w="496"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佛兰</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296</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12</w:t>
            </w:r>
          </w:p>
        </w:tc>
        <w:tc>
          <w:tcPr>
            <w:tcW w:w="714"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0"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新兴</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286</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45</w:t>
            </w:r>
          </w:p>
        </w:tc>
        <w:tc>
          <w:tcPr>
            <w:tcW w:w="714"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17"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大水沟</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594</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内坑</w:t>
            </w:r>
          </w:p>
        </w:tc>
        <w:tc>
          <w:tcPr>
            <w:tcW w:w="673" w:type="dxa"/>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57" w:type="dxa"/>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25</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大富</w:t>
            </w:r>
          </w:p>
        </w:tc>
        <w:tc>
          <w:tcPr>
            <w:tcW w:w="673" w:type="dxa"/>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400</w:t>
            </w:r>
          </w:p>
        </w:tc>
        <w:tc>
          <w:tcPr>
            <w:tcW w:w="757" w:type="dxa"/>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程厝</w:t>
            </w:r>
          </w:p>
        </w:tc>
        <w:tc>
          <w:tcPr>
            <w:tcW w:w="673" w:type="dxa"/>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757" w:type="dxa"/>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沙角尾</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沙角尾</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2568</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632</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沙坑</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沙坑</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1992</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41"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12</w:t>
            </w:r>
          </w:p>
        </w:tc>
        <w:tc>
          <w:tcPr>
            <w:tcW w:w="430"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石岗</w:t>
            </w:r>
          </w:p>
        </w:tc>
        <w:tc>
          <w:tcPr>
            <w:tcW w:w="496"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南门岗</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385</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大淋</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420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78</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石厝</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730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双湖</w:t>
            </w:r>
          </w:p>
        </w:tc>
        <w:tc>
          <w:tcPr>
            <w:tcW w:w="673" w:type="dxa"/>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57" w:type="dxa"/>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16</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241"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w:t>
            </w:r>
          </w:p>
        </w:tc>
        <w:tc>
          <w:tcPr>
            <w:tcW w:w="43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石头</w:t>
            </w:r>
          </w:p>
        </w:tc>
        <w:tc>
          <w:tcPr>
            <w:tcW w:w="496"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石头</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2718</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660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41"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14</w:t>
            </w:r>
          </w:p>
        </w:tc>
        <w:tc>
          <w:tcPr>
            <w:tcW w:w="430"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五爱</w:t>
            </w:r>
          </w:p>
        </w:tc>
        <w:tc>
          <w:tcPr>
            <w:tcW w:w="496" w:type="pct"/>
            <w:vMerge w:val="restar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格塘</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435</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271</w:t>
            </w:r>
          </w:p>
        </w:tc>
        <w:tc>
          <w:tcPr>
            <w:tcW w:w="714"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917"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w:t>
            </w:r>
          </w:p>
        </w:tc>
        <w:tc>
          <w:tcPr>
            <w:tcW w:w="930" w:type="pct"/>
            <w:vMerge w:val="restar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马鞍山</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450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114</w:t>
            </w:r>
          </w:p>
        </w:tc>
        <w:tc>
          <w:tcPr>
            <w:tcW w:w="714"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17"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vMerge w:val="continue"/>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大塘</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1030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490</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 w:hRule="atLeast"/>
          <w:jc w:val="center"/>
        </w:trPr>
        <w:tc>
          <w:tcPr>
            <w:tcW w:w="241"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30"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96" w:type="pct"/>
            <w:vMerge w:val="continue"/>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420"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坣头</w:t>
            </w:r>
          </w:p>
        </w:tc>
        <w:tc>
          <w:tcPr>
            <w:tcW w:w="399" w:type="pct"/>
            <w:shd w:val="clear" w:color="auto" w:fill="auto"/>
            <w:noWrap/>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770</w:t>
            </w:r>
          </w:p>
        </w:tc>
        <w:tc>
          <w:tcPr>
            <w:tcW w:w="449"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405</w:t>
            </w:r>
          </w:p>
        </w:tc>
        <w:tc>
          <w:tcPr>
            <w:tcW w:w="714"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17"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c>
          <w:tcPr>
            <w:tcW w:w="930" w:type="pct"/>
            <w:shd w:val="clear" w:color="auto" w:fill="auto"/>
            <w:tcMar>
              <w:top w:w="15" w:type="dxa"/>
              <w:left w:w="15" w:type="dxa"/>
              <w:right w:w="15" w:type="dxa"/>
            </w:tcMar>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_GB2312" w:hAnsi="仿宋_GB2312" w:eastAsia="仿宋_GB2312" w:cs="仿宋_GB2312"/>
                <w:sz w:val="21"/>
                <w:szCs w:val="21"/>
                <w:highlight w:val="none"/>
                <w:lang w:val="en-US" w:eastAsia="zh-CN"/>
              </w:rPr>
            </w:pPr>
          </w:p>
        </w:tc>
      </w:tr>
    </w:tbl>
    <w:p>
      <w:pPr>
        <w:bidi w:val="0"/>
        <w:rPr>
          <w:rFonts w:hint="default"/>
        </w:rPr>
      </w:pPr>
    </w:p>
    <w:p>
      <w:pPr>
        <w:bidi w:val="0"/>
        <w:rPr>
          <w:rFonts w:hint="default"/>
        </w:rPr>
      </w:pPr>
      <w:r>
        <w:drawing>
          <wp:anchor distT="0" distB="0" distL="114300" distR="114300" simplePos="0" relativeHeight="251662336" behindDoc="0" locked="0" layoutInCell="1" allowOverlap="1">
            <wp:simplePos x="0" y="0"/>
            <wp:positionH relativeFrom="column">
              <wp:posOffset>-10795</wp:posOffset>
            </wp:positionH>
            <wp:positionV relativeFrom="paragraph">
              <wp:posOffset>3046730</wp:posOffset>
            </wp:positionV>
            <wp:extent cx="1101090" cy="670560"/>
            <wp:effectExtent l="0" t="0" r="3810" b="15240"/>
            <wp:wrapNone/>
            <wp:docPr id="35"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true"/>
                    </pic:cNvPicPr>
                  </pic:nvPicPr>
                  <pic:blipFill>
                    <a:blip r:embed="rId7"/>
                    <a:stretch>
                      <a:fillRect/>
                    </a:stretch>
                  </pic:blipFill>
                  <pic:spPr>
                    <a:xfrm>
                      <a:off x="0" y="0"/>
                      <a:ext cx="1101090" cy="670560"/>
                    </a:xfrm>
                    <a:prstGeom prst="rect">
                      <a:avLst/>
                    </a:prstGeom>
                    <a:noFill/>
                    <a:ln>
                      <a:noFill/>
                    </a:ln>
                  </pic:spPr>
                </pic:pic>
              </a:graphicData>
            </a:graphic>
          </wp:anchor>
        </w:drawing>
      </w:r>
      <w:r>
        <w:drawing>
          <wp:inline distT="0" distB="0" distL="114300" distR="114300">
            <wp:extent cx="5266690" cy="4218940"/>
            <wp:effectExtent l="0" t="0" r="10160" b="10160"/>
            <wp:docPr id="2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true"/>
                    </pic:cNvPicPr>
                  </pic:nvPicPr>
                  <pic:blipFill>
                    <a:blip r:embed="rId13"/>
                    <a:stretch>
                      <a:fillRect/>
                    </a:stretch>
                  </pic:blipFill>
                  <pic:spPr>
                    <a:xfrm>
                      <a:off x="0" y="0"/>
                      <a:ext cx="5266690" cy="4218940"/>
                    </a:xfrm>
                    <a:prstGeom prst="rect">
                      <a:avLst/>
                    </a:prstGeom>
                    <a:noFill/>
                    <a:ln>
                      <a:noFill/>
                    </a:ln>
                  </pic:spPr>
                </pic:pic>
              </a:graphicData>
            </a:graphic>
          </wp:inline>
        </w:drawing>
      </w:r>
    </w:p>
    <w:p>
      <w:pPr>
        <w:pStyle w:val="35"/>
        <w:pageBreakBefore w:val="0"/>
        <w:widowControl w:val="0"/>
        <w:kinsoku/>
        <w:wordWrap/>
        <w:overflowPunct/>
        <w:topLinePunct w:val="0"/>
        <w:autoSpaceDE/>
        <w:autoSpaceDN/>
        <w:bidi w:val="0"/>
        <w:adjustRightInd/>
        <w:snapToGrid/>
        <w:spacing w:line="620" w:lineRule="exact"/>
        <w:textAlignment w:val="auto"/>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7</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捷胜镇</w:t>
      </w:r>
      <w:r>
        <w:rPr>
          <w:rFonts w:hint="default"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7"/>
        <w:keepNext/>
        <w:keepLines/>
        <w:pageBreakBefore w:val="0"/>
        <w:widowControl w:val="0"/>
        <w:kinsoku/>
        <w:wordWrap/>
        <w:overflowPunct/>
        <w:topLinePunct w:val="0"/>
        <w:autoSpaceDE/>
        <w:autoSpaceDN/>
        <w:bidi w:val="0"/>
        <w:adjustRightInd/>
        <w:snapToGrid/>
        <w:spacing w:before="0" w:after="0" w:line="6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4</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马宫街道</w:t>
      </w:r>
    </w:p>
    <w:p>
      <w:pPr>
        <w:pageBreakBefore w:val="0"/>
        <w:widowControl w:val="0"/>
        <w:kinsoku/>
        <w:wordWrap/>
        <w:overflowPunct/>
        <w:topLinePunct w:val="0"/>
        <w:autoSpaceDE/>
        <w:autoSpaceDN/>
        <w:bidi w:val="0"/>
        <w:adjustRightInd/>
        <w:snapToGrid/>
        <w:spacing w:line="6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马宫街道，隶属于广东省汕尾市</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"https://baike.baidu.com/item/%E5%9F%8E%E5%8C%BA/5517710" \t "https://baike.baidu.com/item/%E9%A9%AC%E5%AE%AB%E8%A1%97%E9%81%93/_blank"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城区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，地处城区西部，红海湾畔，东与红草镇、香洲街道接壤，南临红海湾，西隔长沙湾与海丰县鲘门镇百安半岛相望，北与红草镇连接。区域面积22.63平方千米。</w:t>
      </w:r>
      <w:r>
        <w:rPr>
          <w:rFonts w:hint="eastAsia" w:ascii="仿宋_GB2312" w:hAnsi="仿宋_GB2312" w:eastAsia="仿宋_GB2312" w:cs="仿宋_GB2312"/>
          <w:sz w:val="32"/>
          <w:szCs w:val="32"/>
          <w:highlight w:val="none"/>
          <w:lang w:val="en-US" w:eastAsia="zh-CN"/>
        </w:rPr>
        <w:t>下辖2</w:t>
      </w:r>
      <w:r>
        <w:rPr>
          <w:rFonts w:hint="eastAsia" w:ascii="仿宋_GB2312" w:hAnsi="仿宋_GB2312" w:eastAsia="仿宋_GB2312" w:cs="仿宋_GB2312"/>
          <w:sz w:val="32"/>
          <w:szCs w:val="32"/>
          <w:highlight w:val="none"/>
        </w:rPr>
        <w:t>个社区、6个行政村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共有23个自然村。马宫街道目前的农村生活污水主要通过建设设施模式和纳厂模式进行治理，已有22个自然村开展治理，其中13个自然村选用建设设施模式，共建有8座设施。9个自然村选用纳厂模式。治理现状见下图表。</w:t>
      </w:r>
    </w:p>
    <w:p>
      <w:pPr>
        <w:pStyle w:val="35"/>
        <w:bidi w:val="0"/>
        <w:rPr>
          <w:rFonts w:hint="default" w:ascii="仿宋_GB2312" w:hAnsi="仿宋_GB2312" w:eastAsia="仿宋_GB2312" w:cs="仿宋_GB2312"/>
          <w:b/>
          <w:bCs/>
          <w:sz w:val="32"/>
          <w:szCs w:val="32"/>
          <w:highlight w:val="none"/>
        </w:rPr>
      </w:pP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7</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马宫街道</w:t>
      </w:r>
      <w:r>
        <w:rPr>
          <w:rFonts w:hint="default" w:ascii="仿宋_GB2312" w:hAnsi="仿宋_GB2312" w:eastAsia="仿宋_GB2312" w:cs="仿宋_GB2312"/>
          <w:b/>
          <w:bCs/>
          <w:sz w:val="32"/>
          <w:szCs w:val="32"/>
          <w:highlight w:val="none"/>
        </w:rPr>
        <w:t>农村生活污水治理现状</w:t>
      </w:r>
    </w:p>
    <w:tbl>
      <w:tblPr>
        <w:tblStyle w:val="20"/>
        <w:tblW w:w="51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724"/>
        <w:gridCol w:w="836"/>
        <w:gridCol w:w="815"/>
        <w:gridCol w:w="866"/>
        <w:gridCol w:w="834"/>
        <w:gridCol w:w="1166"/>
        <w:gridCol w:w="1400"/>
        <w:gridCol w:w="1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4"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序号</w:t>
            </w:r>
          </w:p>
        </w:tc>
        <w:tc>
          <w:tcPr>
            <w:tcW w:w="417"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行政村</w:t>
            </w:r>
          </w:p>
        </w:tc>
        <w:tc>
          <w:tcPr>
            <w:tcW w:w="482"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自然村数量</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自然村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户籍</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常住</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80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93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金町村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埔美村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396</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197</w:t>
            </w:r>
          </w:p>
        </w:tc>
        <w:tc>
          <w:tcPr>
            <w:tcW w:w="673"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0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岭头村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158</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92</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深田村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619</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207</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埔町村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1070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188</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新厝村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72</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新兴村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510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72</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大园村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330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72</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新塘村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220</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田中村</w:t>
            </w:r>
          </w:p>
        </w:tc>
        <w:tc>
          <w:tcPr>
            <w:tcW w:w="499"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281</w:t>
            </w:r>
          </w:p>
        </w:tc>
        <w:tc>
          <w:tcPr>
            <w:tcW w:w="481" w:type="pc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88</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浪清村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星群村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908</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673"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931"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新兴村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928</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深渔村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深渔</w:t>
            </w:r>
          </w:p>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一村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1380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1609</w:t>
            </w:r>
          </w:p>
        </w:tc>
        <w:tc>
          <w:tcPr>
            <w:tcW w:w="673"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500</w:t>
            </w:r>
          </w:p>
        </w:tc>
        <w:tc>
          <w:tcPr>
            <w:tcW w:w="931"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深渔</w:t>
            </w:r>
          </w:p>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二村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1073</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1451</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新北村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新乡村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872</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140</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姚厝地</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370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北山村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840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160</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93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盐町村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盐町</w:t>
            </w:r>
          </w:p>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一村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700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450</w:t>
            </w:r>
          </w:p>
        </w:tc>
        <w:tc>
          <w:tcPr>
            <w:tcW w:w="673"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50</w:t>
            </w:r>
          </w:p>
        </w:tc>
        <w:tc>
          <w:tcPr>
            <w:tcW w:w="931"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盐町</w:t>
            </w:r>
          </w:p>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二村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710</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350</w:t>
            </w:r>
          </w:p>
        </w:tc>
        <w:tc>
          <w:tcPr>
            <w:tcW w:w="67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w:t>
            </w:r>
          </w:p>
        </w:tc>
        <w:tc>
          <w:tcPr>
            <w:tcW w:w="417"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长沙村</w:t>
            </w:r>
          </w:p>
        </w:tc>
        <w:tc>
          <w:tcPr>
            <w:tcW w:w="482"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长东村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1635</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480</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100+80</w:t>
            </w:r>
          </w:p>
        </w:tc>
        <w:tc>
          <w:tcPr>
            <w:tcW w:w="931"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AAO+BAF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长中村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1729</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485</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方厝村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211</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112</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4"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7"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82"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7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后棚村</w:t>
            </w:r>
          </w:p>
        </w:tc>
        <w:tc>
          <w:tcPr>
            <w:tcW w:w="49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545</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81</w:t>
            </w:r>
          </w:p>
        </w:tc>
        <w:tc>
          <w:tcPr>
            <w:tcW w:w="67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0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31"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bl>
    <w:p>
      <w:pPr>
        <w:bidi w:val="0"/>
        <w:rPr>
          <w:rFonts w:hint="default"/>
        </w:rPr>
      </w:pPr>
      <w:r>
        <w:rPr>
          <w:rFonts w:hint="eastAsia" w:ascii="仿宋_GB2312" w:hAnsi="仿宋_GB2312" w:eastAsia="仿宋_GB2312" w:cs="仿宋_GB2312"/>
        </w:rPr>
        <w:drawing>
          <wp:anchor distT="0" distB="0" distL="114300" distR="114300" simplePos="0" relativeHeight="251663360" behindDoc="0" locked="0" layoutInCell="1" allowOverlap="1">
            <wp:simplePos x="0" y="0"/>
            <wp:positionH relativeFrom="column">
              <wp:posOffset>4437380</wp:posOffset>
            </wp:positionH>
            <wp:positionV relativeFrom="paragraph">
              <wp:posOffset>28575</wp:posOffset>
            </wp:positionV>
            <wp:extent cx="835025" cy="508635"/>
            <wp:effectExtent l="0" t="0" r="3175" b="5715"/>
            <wp:wrapNone/>
            <wp:docPr id="3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true"/>
                    </pic:cNvPicPr>
                  </pic:nvPicPr>
                  <pic:blipFill>
                    <a:blip r:embed="rId7"/>
                    <a:stretch>
                      <a:fillRect/>
                    </a:stretch>
                  </pic:blipFill>
                  <pic:spPr>
                    <a:xfrm>
                      <a:off x="0" y="0"/>
                      <a:ext cx="835025" cy="508635"/>
                    </a:xfrm>
                    <a:prstGeom prst="rect">
                      <a:avLst/>
                    </a:prstGeom>
                    <a:noFill/>
                    <a:ln>
                      <a:noFill/>
                    </a:ln>
                  </pic:spPr>
                </pic:pic>
              </a:graphicData>
            </a:graphic>
          </wp:anchor>
        </w:drawing>
      </w:r>
      <w:r>
        <w:rPr>
          <w:rFonts w:hint="eastAsia" w:ascii="仿宋_GB2312" w:hAnsi="仿宋_GB2312" w:eastAsia="仿宋_GB2312" w:cs="仿宋_GB2312"/>
        </w:rPr>
        <w:drawing>
          <wp:inline distT="0" distB="0" distL="114300" distR="114300">
            <wp:extent cx="5272405" cy="1981835"/>
            <wp:effectExtent l="0" t="0" r="4445" b="18415"/>
            <wp:docPr id="31"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true"/>
                    </pic:cNvPicPr>
                  </pic:nvPicPr>
                  <pic:blipFill>
                    <a:blip r:embed="rId14"/>
                    <a:stretch>
                      <a:fillRect/>
                    </a:stretch>
                  </pic:blipFill>
                  <pic:spPr>
                    <a:xfrm>
                      <a:off x="0" y="0"/>
                      <a:ext cx="5272405" cy="1981835"/>
                    </a:xfrm>
                    <a:prstGeom prst="rect">
                      <a:avLst/>
                    </a:prstGeom>
                    <a:noFill/>
                    <a:ln>
                      <a:noFill/>
                    </a:ln>
                  </pic:spPr>
                </pic:pic>
              </a:graphicData>
            </a:graphic>
          </wp:inline>
        </w:drawing>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8</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马宫街道</w:t>
      </w:r>
      <w:r>
        <w:rPr>
          <w:rFonts w:hint="default"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7"/>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5</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香洲街道</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香洲街道，隶属于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"https://baike.baidu.com/item/%E5%B9%BF%E4%B8%9C/207811" \t "https://baike.baidu.com/item/%E9%A6%99%E6%B4%B2%E8%A1%97%E9%81%93/_blank"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广东</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省</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"https://baike.baidu.com/item/%E6%B1%95%E5%B0%BE/907466" \t "https://baike.baidu.com/item/%E9%A6%99%E6%B4%B2%E8%A1%97%E9%81%93/_blank"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汕尾</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市</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"https://baike.baidu.com/item/%E5%9F%8E%E5%8C%BA/5517710" \t "https://baike.baidu.com/item/%E9%A6%99%E6%B4%B2%E8%A1%97%E9%81%93/_blank"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城区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，地处汕尾市区西北部，东连凤山街道，南邻新港街道及临海，西接马宫街道，北与红草镇交界。</w:t>
      </w:r>
      <w:r>
        <w:rPr>
          <w:rFonts w:hint="eastAsia" w:ascii="仿宋_GB2312" w:hAnsi="仿宋_GB2312" w:eastAsia="仿宋_GB2312" w:cs="仿宋_GB2312"/>
          <w:sz w:val="32"/>
          <w:szCs w:val="32"/>
          <w:highlight w:val="none"/>
          <w:lang w:val="en-US" w:eastAsia="zh-CN"/>
        </w:rPr>
        <w:t>区域</w:t>
      </w:r>
      <w:r>
        <w:rPr>
          <w:rFonts w:hint="eastAsia" w:ascii="仿宋_GB2312" w:hAnsi="仿宋_GB2312" w:eastAsia="仿宋_GB2312" w:cs="仿宋_GB2312"/>
          <w:sz w:val="32"/>
          <w:szCs w:val="32"/>
          <w:highlight w:val="none"/>
        </w:rPr>
        <w:t>面积约20.8平方千米。</w:t>
      </w:r>
      <w:r>
        <w:rPr>
          <w:rFonts w:hint="eastAsia" w:ascii="仿宋_GB2312" w:hAnsi="仿宋_GB2312" w:eastAsia="仿宋_GB2312" w:cs="仿宋_GB2312"/>
          <w:sz w:val="32"/>
          <w:szCs w:val="32"/>
          <w:highlight w:val="none"/>
          <w:lang w:val="en-US" w:eastAsia="zh-CN"/>
        </w:rPr>
        <w:t>香洲街道下辖</w:t>
      </w:r>
      <w:r>
        <w:rPr>
          <w:rFonts w:hint="eastAsia" w:ascii="仿宋_GB2312" w:hAnsi="仿宋_GB2312" w:eastAsia="仿宋_GB2312" w:cs="仿宋_GB2312"/>
          <w:sz w:val="32"/>
          <w:szCs w:val="32"/>
          <w:highlight w:val="none"/>
        </w:rPr>
        <w:t>12个社区、2个行政村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共有2个自然村。目前香洲街道的农村生活污水均通过纳厂模式进行治理。治理现状见下图表。</w:t>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8</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香洲</w:t>
      </w:r>
      <w:r>
        <w:rPr>
          <w:rFonts w:hint="default" w:ascii="仿宋_GB2312" w:hAnsi="仿宋_GB2312" w:eastAsia="仿宋_GB2312" w:cs="仿宋_GB2312"/>
          <w:b/>
          <w:bCs/>
          <w:sz w:val="32"/>
          <w:szCs w:val="32"/>
          <w:highlight w:val="none"/>
        </w:rPr>
        <w:t>街道农村生活污水治理现状</w:t>
      </w:r>
    </w:p>
    <w:tbl>
      <w:tblPr>
        <w:tblStyle w:val="20"/>
        <w:tblW w:w="52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725"/>
        <w:gridCol w:w="837"/>
        <w:gridCol w:w="932"/>
        <w:gridCol w:w="833"/>
        <w:gridCol w:w="850"/>
        <w:gridCol w:w="1150"/>
        <w:gridCol w:w="1400"/>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序号</w:t>
            </w:r>
          </w:p>
        </w:tc>
        <w:tc>
          <w:tcPr>
            <w:tcW w:w="41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行政村</w:t>
            </w:r>
          </w:p>
        </w:tc>
        <w:tc>
          <w:tcPr>
            <w:tcW w:w="473"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自然村数量</w:t>
            </w:r>
          </w:p>
        </w:tc>
        <w:tc>
          <w:tcPr>
            <w:tcW w:w="527"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自然村</w:t>
            </w:r>
          </w:p>
        </w:tc>
        <w:tc>
          <w:tcPr>
            <w:tcW w:w="47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户籍</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常住</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65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79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96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3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梧桐村</w:t>
            </w:r>
          </w:p>
        </w:tc>
        <w:tc>
          <w:tcPr>
            <w:tcW w:w="473"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527"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梧桐</w:t>
            </w:r>
          </w:p>
        </w:tc>
        <w:tc>
          <w:tcPr>
            <w:tcW w:w="47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1907</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1113</w:t>
            </w:r>
          </w:p>
        </w:tc>
        <w:tc>
          <w:tcPr>
            <w:tcW w:w="65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79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6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10"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西洋村</w:t>
            </w:r>
          </w:p>
        </w:tc>
        <w:tc>
          <w:tcPr>
            <w:tcW w:w="473"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527"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西洋</w:t>
            </w:r>
          </w:p>
        </w:tc>
        <w:tc>
          <w:tcPr>
            <w:tcW w:w="47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1189</w:t>
            </w:r>
          </w:p>
        </w:tc>
        <w:tc>
          <w:tcPr>
            <w:tcW w:w="481"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250</w:t>
            </w:r>
          </w:p>
        </w:tc>
        <w:tc>
          <w:tcPr>
            <w:tcW w:w="65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79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62"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bl>
    <w:p>
      <w:pPr>
        <w:bidi w:val="0"/>
        <w:rPr>
          <w:rFonts w:hint="default"/>
        </w:rPr>
      </w:pPr>
      <w:r>
        <w:drawing>
          <wp:anchor distT="0" distB="0" distL="114300" distR="114300" simplePos="0" relativeHeight="251664384" behindDoc="0" locked="0" layoutInCell="1" allowOverlap="1">
            <wp:simplePos x="0" y="0"/>
            <wp:positionH relativeFrom="column">
              <wp:posOffset>-2540</wp:posOffset>
            </wp:positionH>
            <wp:positionV relativeFrom="paragraph">
              <wp:posOffset>2169160</wp:posOffset>
            </wp:positionV>
            <wp:extent cx="941070" cy="573405"/>
            <wp:effectExtent l="0" t="0" r="11430" b="17145"/>
            <wp:wrapNone/>
            <wp:docPr id="3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true"/>
                    </pic:cNvPicPr>
                  </pic:nvPicPr>
                  <pic:blipFill>
                    <a:blip r:embed="rId7"/>
                    <a:stretch>
                      <a:fillRect/>
                    </a:stretch>
                  </pic:blipFill>
                  <pic:spPr>
                    <a:xfrm>
                      <a:off x="0" y="0"/>
                      <a:ext cx="941070" cy="573405"/>
                    </a:xfrm>
                    <a:prstGeom prst="rect">
                      <a:avLst/>
                    </a:prstGeom>
                    <a:noFill/>
                    <a:ln>
                      <a:noFill/>
                    </a:ln>
                  </pic:spPr>
                </pic:pic>
              </a:graphicData>
            </a:graphic>
          </wp:anchor>
        </w:drawing>
      </w:r>
      <w:r>
        <w:drawing>
          <wp:inline distT="0" distB="0" distL="114300" distR="114300">
            <wp:extent cx="5268595" cy="2701925"/>
            <wp:effectExtent l="0" t="0" r="8255" b="3175"/>
            <wp:docPr id="28"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true"/>
                    </pic:cNvPicPr>
                  </pic:nvPicPr>
                  <pic:blipFill>
                    <a:blip r:embed="rId15"/>
                    <a:stretch>
                      <a:fillRect/>
                    </a:stretch>
                  </pic:blipFill>
                  <pic:spPr>
                    <a:xfrm>
                      <a:off x="0" y="0"/>
                      <a:ext cx="5268595" cy="2701925"/>
                    </a:xfrm>
                    <a:prstGeom prst="rect">
                      <a:avLst/>
                    </a:prstGeom>
                    <a:noFill/>
                    <a:ln>
                      <a:noFill/>
                    </a:ln>
                  </pic:spPr>
                </pic:pic>
              </a:graphicData>
            </a:graphic>
          </wp:inline>
        </w:drawing>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9</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香洲街道</w:t>
      </w:r>
      <w:r>
        <w:rPr>
          <w:rFonts w:hint="default"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7"/>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6</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凤山街道</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凤山街道，隶属于广东省汕尾市城区，地处市区东南部，东沿品清湖岸延伸与东涌镇交界，西至文明路与香洲街道相依，南至二马路与新港街道毗邻，北顺汕海公路东赤岭处与东浦镇接壤。</w:t>
      </w:r>
      <w:r>
        <w:rPr>
          <w:rFonts w:hint="eastAsia" w:ascii="仿宋_GB2312" w:hAnsi="仿宋_GB2312" w:eastAsia="仿宋_GB2312" w:cs="仿宋_GB2312"/>
          <w:sz w:val="32"/>
          <w:szCs w:val="32"/>
          <w:highlight w:val="none"/>
          <w:lang w:val="en-US" w:eastAsia="zh-CN"/>
        </w:rPr>
        <w:t>区域</w:t>
      </w:r>
      <w:r>
        <w:rPr>
          <w:rFonts w:hint="eastAsia" w:ascii="仿宋_GB2312" w:hAnsi="仿宋_GB2312" w:eastAsia="仿宋_GB2312" w:cs="仿宋_GB2312"/>
          <w:sz w:val="32"/>
          <w:szCs w:val="32"/>
          <w:highlight w:val="none"/>
        </w:rPr>
        <w:t>面积为21.09平方千米。凤山街道辖11个社区、3个行政村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共有自然村4个</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目前凤山街道的农村生活污水主要通过建设设施模式和纳厂模式进行治理，共有3个自然村开展治理，其中2个自然村采用建设设施模式，建有污水处理设施2座，1个自然村采用纳厂模式进行治理。治理现状见下图表。</w:t>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9</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凤山街道</w:t>
      </w:r>
      <w:r>
        <w:rPr>
          <w:rFonts w:hint="default" w:ascii="仿宋_GB2312" w:hAnsi="仿宋_GB2312" w:eastAsia="仿宋_GB2312" w:cs="仿宋_GB2312"/>
          <w:b/>
          <w:bCs/>
          <w:sz w:val="32"/>
          <w:szCs w:val="32"/>
          <w:highlight w:val="none"/>
        </w:rPr>
        <w:t>农村生活污水治理现状</w:t>
      </w:r>
    </w:p>
    <w:tbl>
      <w:tblPr>
        <w:tblStyle w:val="20"/>
        <w:tblW w:w="51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725"/>
        <w:gridCol w:w="837"/>
        <w:gridCol w:w="708"/>
        <w:gridCol w:w="673"/>
        <w:gridCol w:w="757"/>
        <w:gridCol w:w="948"/>
        <w:gridCol w:w="1415"/>
        <w:gridCol w:w="2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3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序号</w:t>
            </w:r>
          </w:p>
        </w:tc>
        <w:tc>
          <w:tcPr>
            <w:tcW w:w="42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行政村</w:t>
            </w:r>
          </w:p>
        </w:tc>
        <w:tc>
          <w:tcPr>
            <w:tcW w:w="49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自然村数量</w:t>
            </w:r>
          </w:p>
        </w:tc>
        <w:tc>
          <w:tcPr>
            <w:tcW w:w="41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sz w:val="21"/>
                <w:szCs w:val="21"/>
                <w:highlight w:val="none"/>
              </w:rPr>
              <w:t>自然村</w:t>
            </w:r>
          </w:p>
        </w:tc>
        <w:tc>
          <w:tcPr>
            <w:tcW w:w="3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户籍</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444"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常住</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人口</w:t>
            </w:r>
          </w:p>
        </w:tc>
        <w:tc>
          <w:tcPr>
            <w:tcW w:w="556"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83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120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8"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5"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芦列坑</w:t>
            </w:r>
          </w:p>
        </w:tc>
        <w:tc>
          <w:tcPr>
            <w:tcW w:w="491"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1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大村</w:t>
            </w:r>
          </w:p>
        </w:tc>
        <w:tc>
          <w:tcPr>
            <w:tcW w:w="3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601</w:t>
            </w:r>
          </w:p>
        </w:tc>
        <w:tc>
          <w:tcPr>
            <w:tcW w:w="444"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w:t>
            </w:r>
          </w:p>
        </w:tc>
        <w:tc>
          <w:tcPr>
            <w:tcW w:w="556"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3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120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厌氧+人工湿地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8" w:hRule="atLeast"/>
          <w:jc w:val="center"/>
        </w:trPr>
        <w:tc>
          <w:tcPr>
            <w:tcW w:w="238"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rPr>
            </w:pPr>
          </w:p>
        </w:tc>
        <w:tc>
          <w:tcPr>
            <w:tcW w:w="425"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rPr>
            </w:pPr>
          </w:p>
        </w:tc>
        <w:tc>
          <w:tcPr>
            <w:tcW w:w="491"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新村</w:t>
            </w:r>
          </w:p>
        </w:tc>
        <w:tc>
          <w:tcPr>
            <w:tcW w:w="3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370</w:t>
            </w:r>
          </w:p>
        </w:tc>
        <w:tc>
          <w:tcPr>
            <w:tcW w:w="444"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18</w:t>
            </w:r>
          </w:p>
        </w:tc>
        <w:tc>
          <w:tcPr>
            <w:tcW w:w="556"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建设设施</w:t>
            </w:r>
          </w:p>
        </w:tc>
        <w:tc>
          <w:tcPr>
            <w:tcW w:w="83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w:t>
            </w:r>
          </w:p>
        </w:tc>
        <w:tc>
          <w:tcPr>
            <w:tcW w:w="120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厌氧+人工湿地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3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2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革新渔业村</w:t>
            </w:r>
          </w:p>
        </w:tc>
        <w:tc>
          <w:tcPr>
            <w:tcW w:w="49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革新渔业村</w:t>
            </w:r>
          </w:p>
        </w:tc>
        <w:tc>
          <w:tcPr>
            <w:tcW w:w="3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421</w:t>
            </w:r>
          </w:p>
        </w:tc>
        <w:tc>
          <w:tcPr>
            <w:tcW w:w="444"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118</w:t>
            </w:r>
          </w:p>
        </w:tc>
        <w:tc>
          <w:tcPr>
            <w:tcW w:w="556"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83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1200"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bl>
    <w:p>
      <w:pPr>
        <w:bidi w:val="0"/>
        <w:jc w:val="center"/>
      </w:pPr>
      <w:r>
        <w:drawing>
          <wp:anchor distT="0" distB="0" distL="114300" distR="114300" simplePos="0" relativeHeight="251665408" behindDoc="0" locked="0" layoutInCell="1" allowOverlap="1">
            <wp:simplePos x="0" y="0"/>
            <wp:positionH relativeFrom="column">
              <wp:posOffset>65405</wp:posOffset>
            </wp:positionH>
            <wp:positionV relativeFrom="paragraph">
              <wp:posOffset>3644265</wp:posOffset>
            </wp:positionV>
            <wp:extent cx="1130300" cy="688975"/>
            <wp:effectExtent l="0" t="0" r="12700" b="15875"/>
            <wp:wrapNone/>
            <wp:docPr id="38"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true"/>
                    </pic:cNvPicPr>
                  </pic:nvPicPr>
                  <pic:blipFill>
                    <a:blip r:embed="rId7"/>
                    <a:stretch>
                      <a:fillRect/>
                    </a:stretch>
                  </pic:blipFill>
                  <pic:spPr>
                    <a:xfrm>
                      <a:off x="0" y="0"/>
                      <a:ext cx="1130300" cy="688975"/>
                    </a:xfrm>
                    <a:prstGeom prst="rect">
                      <a:avLst/>
                    </a:prstGeom>
                    <a:noFill/>
                    <a:ln>
                      <a:noFill/>
                    </a:ln>
                  </pic:spPr>
                </pic:pic>
              </a:graphicData>
            </a:graphic>
          </wp:anchor>
        </w:drawing>
      </w:r>
      <w:r>
        <w:drawing>
          <wp:inline distT="0" distB="0" distL="114300" distR="114300">
            <wp:extent cx="5123815" cy="4309110"/>
            <wp:effectExtent l="0" t="0" r="635" b="15240"/>
            <wp:docPr id="2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true"/>
                    </pic:cNvPicPr>
                  </pic:nvPicPr>
                  <pic:blipFill>
                    <a:blip r:embed="rId16"/>
                    <a:stretch>
                      <a:fillRect/>
                    </a:stretch>
                  </pic:blipFill>
                  <pic:spPr>
                    <a:xfrm>
                      <a:off x="0" y="0"/>
                      <a:ext cx="5123815" cy="4309110"/>
                    </a:xfrm>
                    <a:prstGeom prst="rect">
                      <a:avLst/>
                    </a:prstGeom>
                    <a:noFill/>
                    <a:ln>
                      <a:noFill/>
                    </a:ln>
                  </pic:spPr>
                </pic:pic>
              </a:graphicData>
            </a:graphic>
          </wp:inline>
        </w:drawing>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10</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凤山街道</w:t>
      </w:r>
      <w:r>
        <w:rPr>
          <w:rFonts w:hint="default"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2"/>
        <w:rPr>
          <w:rFonts w:hint="default"/>
        </w:rPr>
      </w:pPr>
    </w:p>
    <w:p>
      <w:pPr>
        <w:pStyle w:val="7"/>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7</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新港街道</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rPr>
        <w:t>新港街道，隶属于</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"https://baike.baidu.com/item/%E5%B9%BF%E4%B8%9C/207811" \t "https://baike.baidu.com/item/%E6%96%B0%E6%B8%AF%E8%A1%97%E9%81%93/_blank"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广东</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省</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"https://baike.baidu.com/item/%E6%B1%95%E5%B0%BE/907466" \t "https://baike.baidu.com/item/%E6%96%B0%E6%B8%AF%E8%A1%97%E9%81%93/_blank"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汕尾</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市</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"https://baike.baidu.com/item/%E5%9F%8E%E5%8C%BA/5517710" \t "https://baike.baidu.com/item/%E6%96%B0%E6%B8%AF%E8%A1%97%E9%81%93/_blank"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城区</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，地处市区南部，濒临南海，由市区顺海岸一带与隔海面对的大华半岛组成。东面与捷胜镇接壤，西面及西北面与香洲街道相连，北面与凤山街道相邻，南面临南海。行政区划总面积为20.03平方千米。</w:t>
      </w:r>
      <w:r>
        <w:rPr>
          <w:rFonts w:hint="eastAsia" w:ascii="仿宋_GB2312" w:hAnsi="仿宋_GB2312" w:eastAsia="仿宋_GB2312" w:cs="仿宋_GB2312"/>
          <w:sz w:val="32"/>
          <w:szCs w:val="32"/>
          <w:highlight w:val="none"/>
          <w:lang w:val="en-US" w:eastAsia="zh-CN"/>
        </w:rPr>
        <w:t>下辖</w:t>
      </w:r>
      <w:r>
        <w:rPr>
          <w:rFonts w:hint="eastAsia" w:ascii="仿宋_GB2312" w:hAnsi="仿宋_GB2312" w:eastAsia="仿宋_GB2312" w:cs="仿宋_GB2312"/>
          <w:sz w:val="32"/>
          <w:szCs w:val="32"/>
          <w:highlight w:val="none"/>
        </w:rPr>
        <w:t>5个社区、5个</w:t>
      </w:r>
      <w:r>
        <w:rPr>
          <w:rFonts w:hint="eastAsia" w:ascii="仿宋_GB2312" w:hAnsi="仿宋_GB2312" w:eastAsia="仿宋_GB2312" w:cs="仿宋_GB2312"/>
          <w:sz w:val="32"/>
          <w:szCs w:val="32"/>
          <w:highlight w:val="none"/>
          <w:lang w:val="en-US" w:eastAsia="zh-CN"/>
        </w:rPr>
        <w:t>行政村，共有自然村7个，均已开展治理。其中3个自然村采用纳厂模式进行治理，4个自然村采用资源化利用模式进行治理。治理现状见下图表。</w:t>
      </w:r>
    </w:p>
    <w:p>
      <w:pPr>
        <w:pStyle w:val="35"/>
        <w:bidi w:val="0"/>
        <w:rPr>
          <w:rFonts w:hint="default" w:ascii="仿宋_GB2312" w:hAnsi="仿宋_GB2312" w:eastAsia="仿宋_GB2312" w:cs="仿宋_GB2312"/>
          <w:b/>
          <w:bCs/>
          <w:sz w:val="32"/>
          <w:szCs w:val="32"/>
          <w:highlight w:val="none"/>
        </w:rPr>
      </w:pPr>
      <w:r>
        <w:rPr>
          <w:rFonts w:hint="default" w:ascii="仿宋_GB2312" w:hAnsi="仿宋_GB2312" w:eastAsia="仿宋_GB2312" w:cs="仿宋_GB2312"/>
          <w:b/>
          <w:bCs/>
          <w:sz w:val="32"/>
          <w:szCs w:val="32"/>
          <w:highlight w:val="none"/>
        </w:rPr>
        <w:t>表3-</w:t>
      </w:r>
      <w:r>
        <w:rPr>
          <w:rFonts w:hint="eastAsia" w:ascii="仿宋_GB2312" w:hAnsi="仿宋_GB2312" w:eastAsia="仿宋_GB2312" w:cs="仿宋_GB2312"/>
          <w:b/>
          <w:bCs/>
          <w:sz w:val="32"/>
          <w:szCs w:val="32"/>
          <w:highlight w:val="none"/>
          <w:lang w:val="en-US" w:eastAsia="zh-CN"/>
        </w:rPr>
        <w:t>10</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新港</w:t>
      </w:r>
      <w:r>
        <w:rPr>
          <w:rFonts w:hint="default" w:ascii="仿宋_GB2312" w:hAnsi="仿宋_GB2312" w:eastAsia="仿宋_GB2312" w:cs="仿宋_GB2312"/>
          <w:b/>
          <w:bCs/>
          <w:sz w:val="32"/>
          <w:szCs w:val="32"/>
          <w:highlight w:val="none"/>
        </w:rPr>
        <w:t>街道农村生活污水治理现状</w:t>
      </w:r>
    </w:p>
    <w:tbl>
      <w:tblPr>
        <w:tblStyle w:val="20"/>
        <w:tblW w:w="50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725"/>
        <w:gridCol w:w="837"/>
        <w:gridCol w:w="708"/>
        <w:gridCol w:w="673"/>
        <w:gridCol w:w="757"/>
        <w:gridCol w:w="1258"/>
        <w:gridCol w:w="1560"/>
        <w:gridCol w:w="15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24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序号</w:t>
            </w:r>
          </w:p>
        </w:tc>
        <w:tc>
          <w:tcPr>
            <w:tcW w:w="42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行政村</w:t>
            </w:r>
          </w:p>
        </w:tc>
        <w:tc>
          <w:tcPr>
            <w:tcW w:w="4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自然村数量</w:t>
            </w:r>
          </w:p>
        </w:tc>
        <w:tc>
          <w:tcPr>
            <w:tcW w:w="41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自然村</w:t>
            </w:r>
          </w:p>
        </w:tc>
        <w:tc>
          <w:tcPr>
            <w:tcW w:w="39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户籍</w:t>
            </w:r>
          </w:p>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人口</w:t>
            </w:r>
          </w:p>
        </w:tc>
        <w:tc>
          <w:tcPr>
            <w:tcW w:w="44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常住</w:t>
            </w:r>
          </w:p>
          <w:p>
            <w:pPr>
              <w:widowControl/>
              <w:jc w:val="center"/>
              <w:textAlignment w:val="center"/>
              <w:rPr>
                <w:rFonts w:hint="eastAsia" w:ascii="仿宋_GB2312" w:hAnsi="仿宋_GB2312" w:eastAsia="仿宋_GB2312" w:cs="仿宋_GB2312"/>
                <w:b/>
                <w:bCs/>
                <w:sz w:val="21"/>
                <w:szCs w:val="21"/>
                <w:highlight w:val="none"/>
                <w:lang w:val="en-US" w:eastAsia="zh-CN"/>
              </w:rPr>
            </w:pPr>
            <w:r>
              <w:rPr>
                <w:rFonts w:hint="eastAsia" w:ascii="仿宋_GB2312" w:hAnsi="仿宋_GB2312" w:eastAsia="仿宋_GB2312" w:cs="仿宋_GB2312"/>
                <w:b/>
                <w:bCs/>
                <w:sz w:val="21"/>
                <w:szCs w:val="21"/>
                <w:highlight w:val="none"/>
                <w:lang w:val="en-US" w:eastAsia="zh-CN"/>
              </w:rPr>
              <w:t>人口</w:t>
            </w:r>
          </w:p>
        </w:tc>
        <w:tc>
          <w:tcPr>
            <w:tcW w:w="745"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治理模式</w:t>
            </w:r>
          </w:p>
        </w:tc>
        <w:tc>
          <w:tcPr>
            <w:tcW w:w="92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kern w:val="0"/>
                <w:sz w:val="21"/>
                <w:szCs w:val="21"/>
                <w:highlight w:val="none"/>
                <w:lang w:bidi="ar"/>
              </w:rPr>
            </w:pPr>
            <w:r>
              <w:rPr>
                <w:rFonts w:hint="eastAsia" w:ascii="仿宋_GB2312" w:hAnsi="仿宋_GB2312" w:eastAsia="仿宋_GB2312" w:cs="仿宋_GB2312"/>
                <w:b/>
                <w:bCs/>
                <w:kern w:val="0"/>
                <w:sz w:val="21"/>
                <w:szCs w:val="21"/>
                <w:highlight w:val="none"/>
                <w:lang w:bidi="ar"/>
              </w:rPr>
              <w:t>设计处理规模</w:t>
            </w:r>
          </w:p>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（m³/d）</w:t>
            </w:r>
          </w:p>
        </w:tc>
        <w:tc>
          <w:tcPr>
            <w:tcW w:w="89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b/>
                <w:bCs/>
                <w:sz w:val="21"/>
                <w:szCs w:val="21"/>
                <w:highlight w:val="none"/>
              </w:rPr>
            </w:pPr>
            <w:r>
              <w:rPr>
                <w:rFonts w:hint="eastAsia" w:ascii="仿宋_GB2312" w:hAnsi="仿宋_GB2312" w:eastAsia="仿宋_GB2312" w:cs="仿宋_GB2312"/>
                <w:b/>
                <w:bCs/>
                <w:kern w:val="0"/>
                <w:sz w:val="21"/>
                <w:szCs w:val="21"/>
                <w:highlight w:val="none"/>
                <w:lang w:bidi="ar"/>
              </w:rPr>
              <w:t>污水处理工艺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 w:hRule="atLeast"/>
          <w:jc w:val="center"/>
        </w:trPr>
        <w:tc>
          <w:tcPr>
            <w:tcW w:w="24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2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东风渔业村</w:t>
            </w:r>
          </w:p>
        </w:tc>
        <w:tc>
          <w:tcPr>
            <w:tcW w:w="4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东风渔业村</w:t>
            </w:r>
          </w:p>
        </w:tc>
        <w:tc>
          <w:tcPr>
            <w:tcW w:w="39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10680</w:t>
            </w:r>
          </w:p>
        </w:tc>
        <w:tc>
          <w:tcPr>
            <w:tcW w:w="44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8580</w:t>
            </w:r>
          </w:p>
        </w:tc>
        <w:tc>
          <w:tcPr>
            <w:tcW w:w="745"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纳厂</w:t>
            </w:r>
          </w:p>
        </w:tc>
        <w:tc>
          <w:tcPr>
            <w:tcW w:w="923"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vMerge w:val="restar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2</w:t>
            </w:r>
          </w:p>
        </w:tc>
        <w:tc>
          <w:tcPr>
            <w:tcW w:w="42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前进渔业村</w:t>
            </w:r>
          </w:p>
        </w:tc>
        <w:tc>
          <w:tcPr>
            <w:tcW w:w="4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前进渔业村</w:t>
            </w:r>
          </w:p>
        </w:tc>
        <w:tc>
          <w:tcPr>
            <w:tcW w:w="39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9026</w:t>
            </w:r>
          </w:p>
        </w:tc>
        <w:tc>
          <w:tcPr>
            <w:tcW w:w="44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7125</w:t>
            </w:r>
          </w:p>
        </w:tc>
        <w:tc>
          <w:tcPr>
            <w:tcW w:w="745"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2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5" w:hRule="atLeast"/>
          <w:jc w:val="center"/>
        </w:trPr>
        <w:tc>
          <w:tcPr>
            <w:tcW w:w="24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2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红卫渔业村</w:t>
            </w:r>
          </w:p>
        </w:tc>
        <w:tc>
          <w:tcPr>
            <w:tcW w:w="4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红卫渔业村</w:t>
            </w:r>
          </w:p>
        </w:tc>
        <w:tc>
          <w:tcPr>
            <w:tcW w:w="398"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4305</w:t>
            </w:r>
          </w:p>
        </w:tc>
        <w:tc>
          <w:tcPr>
            <w:tcW w:w="44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420</w:t>
            </w:r>
          </w:p>
        </w:tc>
        <w:tc>
          <w:tcPr>
            <w:tcW w:w="745"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923"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vMerge w:val="continue"/>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5" w:hRule="atLeast"/>
          <w:jc w:val="center"/>
        </w:trPr>
        <w:tc>
          <w:tcPr>
            <w:tcW w:w="241"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4</w:t>
            </w:r>
          </w:p>
        </w:tc>
        <w:tc>
          <w:tcPr>
            <w:tcW w:w="429"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新港村</w:t>
            </w:r>
          </w:p>
        </w:tc>
        <w:tc>
          <w:tcPr>
            <w:tcW w:w="495" w:type="pc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1</w:t>
            </w:r>
          </w:p>
        </w:tc>
        <w:tc>
          <w:tcPr>
            <w:tcW w:w="419"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李厝村</w:t>
            </w:r>
          </w:p>
        </w:tc>
        <w:tc>
          <w:tcPr>
            <w:tcW w:w="398"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851</w:t>
            </w:r>
          </w:p>
        </w:tc>
        <w:tc>
          <w:tcPr>
            <w:tcW w:w="448" w:type="pc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745"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2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5</w:t>
            </w:r>
          </w:p>
        </w:tc>
        <w:tc>
          <w:tcPr>
            <w:tcW w:w="429"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芳荣村</w:t>
            </w:r>
          </w:p>
        </w:tc>
        <w:tc>
          <w:tcPr>
            <w:tcW w:w="495" w:type="pct"/>
            <w:vMerge w:val="restart"/>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3</w:t>
            </w:r>
          </w:p>
        </w:tc>
        <w:tc>
          <w:tcPr>
            <w:tcW w:w="419"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五福村</w:t>
            </w:r>
          </w:p>
        </w:tc>
        <w:tc>
          <w:tcPr>
            <w:tcW w:w="398"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586</w:t>
            </w:r>
          </w:p>
        </w:tc>
        <w:tc>
          <w:tcPr>
            <w:tcW w:w="448" w:type="pc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45"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2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5" w:hRule="atLeast"/>
          <w:jc w:val="center"/>
        </w:trPr>
        <w:tc>
          <w:tcPr>
            <w:tcW w:w="241"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29"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95"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9"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大华村</w:t>
            </w:r>
          </w:p>
        </w:tc>
        <w:tc>
          <w:tcPr>
            <w:tcW w:w="398"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1058</w:t>
            </w:r>
          </w:p>
        </w:tc>
        <w:tc>
          <w:tcPr>
            <w:tcW w:w="448" w:type="pc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45"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2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5" w:hRule="atLeast"/>
          <w:jc w:val="center"/>
        </w:trPr>
        <w:tc>
          <w:tcPr>
            <w:tcW w:w="241"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29"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95" w:type="pct"/>
            <w:vMerge w:val="continue"/>
            <w:shd w:val="clear" w:color="auto" w:fill="auto"/>
            <w:noWrap/>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419"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银牌村</w:t>
            </w:r>
          </w:p>
        </w:tc>
        <w:tc>
          <w:tcPr>
            <w:tcW w:w="398" w:type="pct"/>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732</w:t>
            </w:r>
          </w:p>
        </w:tc>
        <w:tc>
          <w:tcPr>
            <w:tcW w:w="448" w:type="pct"/>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45"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r>
              <w:rPr>
                <w:rFonts w:hint="eastAsia" w:ascii="仿宋_GB2312" w:hAnsi="仿宋_GB2312" w:eastAsia="仿宋_GB2312" w:cs="仿宋_GB2312"/>
                <w:sz w:val="21"/>
                <w:szCs w:val="21"/>
                <w:highlight w:val="none"/>
                <w:lang w:val="en-US" w:eastAsia="zh-CN"/>
              </w:rPr>
              <w:t>资源化利用</w:t>
            </w:r>
          </w:p>
        </w:tc>
        <w:tc>
          <w:tcPr>
            <w:tcW w:w="923"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c>
          <w:tcPr>
            <w:tcW w:w="898" w:type="pct"/>
            <w:shd w:val="clear" w:color="auto" w:fill="auto"/>
            <w:tcMar>
              <w:top w:w="15" w:type="dxa"/>
              <w:left w:w="15" w:type="dxa"/>
              <w:right w:w="15" w:type="dxa"/>
            </w:tcMar>
            <w:vAlign w:val="center"/>
          </w:tcPr>
          <w:p>
            <w:pPr>
              <w:widowControl/>
              <w:jc w:val="center"/>
              <w:textAlignment w:val="center"/>
              <w:rPr>
                <w:rFonts w:hint="eastAsia" w:ascii="仿宋_GB2312" w:hAnsi="仿宋_GB2312" w:eastAsia="仿宋_GB2312" w:cs="仿宋_GB2312"/>
                <w:sz w:val="21"/>
                <w:szCs w:val="21"/>
                <w:highlight w:val="none"/>
                <w:lang w:val="en-US" w:eastAsia="zh-CN"/>
              </w:rPr>
            </w:pPr>
          </w:p>
        </w:tc>
      </w:tr>
    </w:tbl>
    <w:p>
      <w:pPr>
        <w:bidi w:val="0"/>
        <w:rPr>
          <w:rFonts w:hint="default"/>
          <w:lang w:val="en-US" w:eastAsia="zh-CN"/>
        </w:rPr>
      </w:pPr>
      <w:r>
        <w:drawing>
          <wp:anchor distT="0" distB="0" distL="114300" distR="114300" simplePos="0" relativeHeight="251666432" behindDoc="0" locked="0" layoutInCell="1" allowOverlap="1">
            <wp:simplePos x="0" y="0"/>
            <wp:positionH relativeFrom="column">
              <wp:posOffset>5715</wp:posOffset>
            </wp:positionH>
            <wp:positionV relativeFrom="paragraph">
              <wp:posOffset>2571115</wp:posOffset>
            </wp:positionV>
            <wp:extent cx="1219835" cy="743585"/>
            <wp:effectExtent l="0" t="0" r="18415" b="18415"/>
            <wp:wrapNone/>
            <wp:docPr id="39"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true"/>
                    </pic:cNvPicPr>
                  </pic:nvPicPr>
                  <pic:blipFill>
                    <a:blip r:embed="rId7"/>
                    <a:stretch>
                      <a:fillRect/>
                    </a:stretch>
                  </pic:blipFill>
                  <pic:spPr>
                    <a:xfrm>
                      <a:off x="0" y="0"/>
                      <a:ext cx="1219835" cy="743585"/>
                    </a:xfrm>
                    <a:prstGeom prst="rect">
                      <a:avLst/>
                    </a:prstGeom>
                    <a:noFill/>
                    <a:ln>
                      <a:noFill/>
                    </a:ln>
                  </pic:spPr>
                </pic:pic>
              </a:graphicData>
            </a:graphic>
          </wp:anchor>
        </w:drawing>
      </w:r>
      <w:r>
        <w:drawing>
          <wp:inline distT="0" distB="0" distL="114300" distR="114300">
            <wp:extent cx="5269230" cy="3258185"/>
            <wp:effectExtent l="0" t="0" r="7620" b="18415"/>
            <wp:docPr id="2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true"/>
                    </pic:cNvPicPr>
                  </pic:nvPicPr>
                  <pic:blipFill>
                    <a:blip r:embed="rId17"/>
                    <a:stretch>
                      <a:fillRect/>
                    </a:stretch>
                  </pic:blipFill>
                  <pic:spPr>
                    <a:xfrm>
                      <a:off x="0" y="0"/>
                      <a:ext cx="5269230" cy="3258185"/>
                    </a:xfrm>
                    <a:prstGeom prst="rect">
                      <a:avLst/>
                    </a:prstGeom>
                    <a:noFill/>
                    <a:ln>
                      <a:noFill/>
                    </a:ln>
                  </pic:spPr>
                </pic:pic>
              </a:graphicData>
            </a:graphic>
          </wp:inline>
        </w:drawing>
      </w:r>
    </w:p>
    <w:p>
      <w:pPr>
        <w:pStyle w:val="35"/>
        <w:bidi w:val="0"/>
        <w:rPr>
          <w:rFonts w:hint="default" w:ascii="仿宋_GB2312" w:hAnsi="仿宋_GB2312" w:eastAsia="仿宋_GB2312" w:cs="仿宋_GB2312"/>
          <w:b/>
          <w:bCs/>
          <w:sz w:val="32"/>
          <w:szCs w:val="32"/>
          <w:highlight w:val="none"/>
          <w:lang w:val="en-US" w:eastAsia="zh-CN"/>
        </w:rPr>
      </w:pPr>
      <w:bookmarkStart w:id="117" w:name="_Toc31772"/>
      <w:bookmarkStart w:id="118" w:name="_Toc26639"/>
      <w:r>
        <w:rPr>
          <w:rFonts w:hint="default" w:ascii="仿宋_GB2312" w:hAnsi="仿宋_GB2312" w:eastAsia="仿宋_GB2312" w:cs="仿宋_GB2312"/>
          <w:b/>
          <w:bCs/>
          <w:sz w:val="32"/>
          <w:szCs w:val="32"/>
          <w:highlight w:val="none"/>
        </w:rPr>
        <w:t>图3-</w:t>
      </w:r>
      <w:r>
        <w:rPr>
          <w:rFonts w:hint="eastAsia" w:ascii="仿宋_GB2312" w:hAnsi="仿宋_GB2312" w:eastAsia="仿宋_GB2312" w:cs="仿宋_GB2312"/>
          <w:b/>
          <w:bCs/>
          <w:sz w:val="32"/>
          <w:szCs w:val="32"/>
          <w:highlight w:val="none"/>
          <w:lang w:val="en-US" w:eastAsia="zh-CN"/>
        </w:rPr>
        <w:t>11</w:t>
      </w:r>
      <w:r>
        <w:rPr>
          <w:rFonts w:hint="default"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新港街道</w:t>
      </w:r>
      <w:r>
        <w:rPr>
          <w:rFonts w:hint="default" w:ascii="仿宋_GB2312" w:hAnsi="仿宋_GB2312" w:eastAsia="仿宋_GB2312" w:cs="仿宋_GB2312"/>
          <w:b/>
          <w:bCs/>
          <w:sz w:val="32"/>
          <w:szCs w:val="32"/>
          <w:highlight w:val="none"/>
        </w:rPr>
        <w:t>农村生活污水</w:t>
      </w:r>
      <w:r>
        <w:rPr>
          <w:rFonts w:hint="eastAsia" w:ascii="仿宋_GB2312" w:hAnsi="仿宋_GB2312" w:eastAsia="仿宋_GB2312" w:cs="仿宋_GB2312"/>
          <w:b/>
          <w:bCs/>
          <w:sz w:val="32"/>
          <w:szCs w:val="32"/>
          <w:highlight w:val="none"/>
          <w:lang w:val="en-US" w:eastAsia="zh-CN"/>
        </w:rPr>
        <w:t>治理现状</w:t>
      </w:r>
    </w:p>
    <w:p>
      <w:pPr>
        <w:pStyle w:val="5"/>
        <w:keepNext/>
        <w:keepLines/>
        <w:pageBreakBefore w:val="0"/>
        <w:widowControl w:val="0"/>
        <w:kinsoku/>
        <w:wordWrap/>
        <w:overflowPunct/>
        <w:topLinePunct w:val="0"/>
        <w:autoSpaceDE/>
        <w:autoSpaceDN/>
        <w:bidi w:val="0"/>
        <w:adjustRightInd/>
        <w:snapToGrid/>
        <w:spacing w:before="0" w:after="0" w:line="520" w:lineRule="exact"/>
        <w:ind w:left="0" w:leftChars="0"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3.存在的主要问题</w:t>
      </w:r>
      <w:bookmarkEnd w:id="117"/>
      <w:bookmarkEnd w:id="118"/>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19" w:name="_Toc1535"/>
      <w:bookmarkStart w:id="120" w:name="_Toc31900"/>
      <w:r>
        <w:rPr>
          <w:rFonts w:hint="eastAsia" w:ascii="仿宋_GB2312" w:hAnsi="仿宋_GB2312" w:eastAsia="仿宋_GB2312" w:cs="仿宋_GB2312"/>
          <w:b/>
          <w:bCs/>
          <w:sz w:val="32"/>
          <w:szCs w:val="32"/>
          <w:highlight w:val="none"/>
          <w:lang w:val="en-US" w:eastAsia="zh-CN"/>
        </w:rPr>
        <w:t>（1）管网覆盖率偏低</w:t>
      </w:r>
      <w:bookmarkEnd w:id="119"/>
      <w:bookmarkEnd w:id="120"/>
    </w:p>
    <w:p>
      <w:pPr>
        <w:pStyle w:val="2"/>
        <w:pageBreakBefore w:val="0"/>
        <w:widowControl w:val="0"/>
        <w:numPr>
          <w:ilvl w:val="-1"/>
          <w:numId w:val="0"/>
        </w:numPr>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汕尾市城区158个自然村里，已有139个自然村开展治理，但其中有102个自然村纳入提升改造清单，主要是由于管网覆盖率偏低，目前仅建设主管，未建接户管。多数自然村污水通过村内自有暗渠或明渠排放，经主管收集至设施或污水处理厂进行处理，但仍存在污水未被收集，直排入沟渠造成水体黑臭的现象。如捷胜镇牛肚村，因主管检查井溢流堰设置较低，污水直排入沟渠；东涌镇大船路村，主管截污不完全导致污水直排入沟渠；红草镇拾和村东宫村，污水未接入主管，直排入河涌。</w:t>
      </w:r>
    </w:p>
    <w:p>
      <w:pPr>
        <w:numPr>
          <w:ilvl w:val="0"/>
          <w:numId w:val="0"/>
        </w:numPr>
        <w:spacing w:line="360" w:lineRule="auto"/>
        <w:jc w:val="center"/>
      </w:pPr>
      <w:r>
        <w:drawing>
          <wp:inline distT="0" distB="0" distL="114300" distR="114300">
            <wp:extent cx="2510155" cy="3382010"/>
            <wp:effectExtent l="0" t="0" r="4445" b="889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18"/>
                    <a:stretch>
                      <a:fillRect/>
                    </a:stretch>
                  </pic:blipFill>
                  <pic:spPr>
                    <a:xfrm>
                      <a:off x="0" y="0"/>
                      <a:ext cx="2510155" cy="33820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34920" cy="3383915"/>
            <wp:effectExtent l="0" t="0" r="17780" b="6985"/>
            <wp:docPr id="18"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true"/>
                    </pic:cNvPicPr>
                  </pic:nvPicPr>
                  <pic:blipFill>
                    <a:blip r:embed="rId19"/>
                    <a:stretch>
                      <a:fillRect/>
                    </a:stretch>
                  </pic:blipFill>
                  <pic:spPr>
                    <a:xfrm>
                      <a:off x="0" y="0"/>
                      <a:ext cx="2534920" cy="3383915"/>
                    </a:xfrm>
                    <a:prstGeom prst="rect">
                      <a:avLst/>
                    </a:prstGeom>
                    <a:noFill/>
                    <a:ln>
                      <a:noFill/>
                    </a:ln>
                  </pic:spPr>
                </pic:pic>
              </a:graphicData>
            </a:graphic>
          </wp:inline>
        </w:drawing>
      </w:r>
    </w:p>
    <w:p>
      <w:pPr>
        <w:pStyle w:val="35"/>
        <w:bidi w:val="0"/>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图3-12 左：捷胜镇牛肚村 右：东涌镇大船路村</w:t>
      </w:r>
    </w:p>
    <w:p>
      <w:pPr>
        <w:numPr>
          <w:ilvl w:val="0"/>
          <w:numId w:val="0"/>
        </w:numPr>
        <w:spacing w:line="360" w:lineRule="auto"/>
        <w:jc w:val="center"/>
      </w:pPr>
      <w:r>
        <w:drawing>
          <wp:inline distT="0" distB="0" distL="114300" distR="114300">
            <wp:extent cx="4385945" cy="3386455"/>
            <wp:effectExtent l="0" t="0" r="14605" b="4445"/>
            <wp:docPr id="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true"/>
                    </pic:cNvPicPr>
                  </pic:nvPicPr>
                  <pic:blipFill>
                    <a:blip r:embed="rId20"/>
                    <a:stretch>
                      <a:fillRect/>
                    </a:stretch>
                  </pic:blipFill>
                  <pic:spPr>
                    <a:xfrm>
                      <a:off x="0" y="0"/>
                      <a:ext cx="4385945" cy="3386455"/>
                    </a:xfrm>
                    <a:prstGeom prst="rect">
                      <a:avLst/>
                    </a:prstGeom>
                    <a:noFill/>
                    <a:ln>
                      <a:noFill/>
                    </a:ln>
                  </pic:spPr>
                </pic:pic>
              </a:graphicData>
            </a:graphic>
          </wp:inline>
        </w:drawing>
      </w:r>
    </w:p>
    <w:p>
      <w:pPr>
        <w:pStyle w:val="35"/>
        <w:bidi w:val="0"/>
        <w:rPr>
          <w:rFonts w:hint="default"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图3-13 红草镇拾和村东宫村污水直排</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21" w:name="_Toc9650"/>
      <w:bookmarkStart w:id="122" w:name="_Toc1248"/>
      <w:r>
        <w:rPr>
          <w:rFonts w:hint="eastAsia" w:ascii="仿宋_GB2312" w:hAnsi="仿宋_GB2312" w:eastAsia="仿宋_GB2312" w:cs="仿宋_GB2312"/>
          <w:b/>
          <w:bCs/>
          <w:sz w:val="32"/>
          <w:szCs w:val="32"/>
          <w:highlight w:val="none"/>
          <w:lang w:val="en-US" w:eastAsia="zh-CN"/>
        </w:rPr>
        <w:t>（2）部分自然村设施规模不匹配</w:t>
      </w:r>
      <w:bookmarkEnd w:id="121"/>
      <w:bookmarkEnd w:id="122"/>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根据现场排查结果，部分自然村空心化严重，常住人口仅有几十余人，但建设了一体化设施，现场排查发现设施进水极少，严重影响了设施的正常运行。另有部分设施的规模与村庄人口不匹配，后续应根据实际情况对设施进行调整。</w:t>
      </w:r>
    </w:p>
    <w:p>
      <w:pPr>
        <w:pStyle w:val="6"/>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23" w:name="_Toc6046"/>
      <w:bookmarkStart w:id="124" w:name="_Toc7899"/>
      <w:r>
        <w:rPr>
          <w:rFonts w:hint="eastAsia" w:ascii="仿宋_GB2312" w:hAnsi="仿宋_GB2312" w:eastAsia="仿宋_GB2312" w:cs="仿宋_GB2312"/>
          <w:b/>
          <w:bCs/>
          <w:sz w:val="32"/>
          <w:szCs w:val="32"/>
          <w:highlight w:val="none"/>
          <w:lang w:val="en-US" w:eastAsia="zh-CN"/>
        </w:rPr>
        <w:t>（3）生蚝养殖区域周边水体污染严重</w:t>
      </w:r>
      <w:bookmarkEnd w:id="123"/>
      <w:bookmarkEnd w:id="124"/>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城区沿黄江边的辰州村、长沙村等打造了“蚝情万丈”乡村振兴景观带，但由于村内污水管网覆盖率不足以及村民自身意识不到位的现状，辰州村、长沙村等生蚝养殖自然村周边水体污染严重，部分餐饮废水直排入水体，对水体造成严重影响。</w:t>
      </w:r>
    </w:p>
    <w:p>
      <w:pPr>
        <w:numPr>
          <w:ilvl w:val="0"/>
          <w:numId w:val="0"/>
        </w:numPr>
        <w:spacing w:line="360" w:lineRule="auto"/>
        <w:jc w:val="center"/>
      </w:pPr>
      <w:r>
        <w:drawing>
          <wp:inline distT="0" distB="0" distL="114300" distR="114300">
            <wp:extent cx="4399915" cy="3300095"/>
            <wp:effectExtent l="0" t="0" r="635" b="14605"/>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pic:cNvPicPr>
                  </pic:nvPicPr>
                  <pic:blipFill>
                    <a:blip r:embed="rId21"/>
                    <a:stretch>
                      <a:fillRect/>
                    </a:stretch>
                  </pic:blipFill>
                  <pic:spPr>
                    <a:xfrm>
                      <a:off x="0" y="0"/>
                      <a:ext cx="4399915" cy="3300095"/>
                    </a:xfrm>
                    <a:prstGeom prst="rect">
                      <a:avLst/>
                    </a:prstGeom>
                    <a:noFill/>
                    <a:ln>
                      <a:noFill/>
                    </a:ln>
                  </pic:spPr>
                </pic:pic>
              </a:graphicData>
            </a:graphic>
          </wp:inline>
        </w:drawing>
      </w:r>
    </w:p>
    <w:p>
      <w:pPr>
        <w:pStyle w:val="35"/>
        <w:bidi w:val="0"/>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图3-</w:t>
      </w:r>
      <w:r>
        <w:rPr>
          <w:rFonts w:hint="eastAsia" w:cs="Times New Roman"/>
          <w:highlight w:val="none"/>
          <w:lang w:val="en-US" w:eastAsia="zh-CN"/>
        </w:rPr>
        <w:t>14</w:t>
      </w:r>
      <w:r>
        <w:rPr>
          <w:rFonts w:hint="eastAsia" w:ascii="Times New Roman" w:hAnsi="Times New Roman" w:cs="Times New Roman"/>
          <w:highlight w:val="none"/>
          <w:lang w:val="en-US" w:eastAsia="zh-CN"/>
        </w:rPr>
        <w:t xml:space="preserve"> 辰州村边水体污染严重</w:t>
      </w:r>
    </w:p>
    <w:p>
      <w:pPr>
        <w:pStyle w:val="4"/>
        <w:keepNext/>
        <w:keepLines/>
        <w:pageBreakBefore w:val="0"/>
        <w:widowControl w:val="0"/>
        <w:kinsoku/>
        <w:wordWrap/>
        <w:overflowPunct/>
        <w:topLinePunct w:val="0"/>
        <w:autoSpaceDE/>
        <w:autoSpaceDN/>
        <w:bidi w:val="0"/>
        <w:adjustRightInd/>
        <w:snapToGrid/>
        <w:spacing w:before="0" w:after="0" w:line="520" w:lineRule="exact"/>
        <w:ind w:firstLine="640" w:firstLineChars="200"/>
        <w:textAlignment w:val="auto"/>
        <w:rPr>
          <w:rFonts w:hint="eastAsia" w:ascii="黑体" w:hAnsi="黑体" w:eastAsia="黑体" w:cs="黑体"/>
          <w:b w:val="0"/>
          <w:bCs w:val="0"/>
          <w:sz w:val="32"/>
          <w:szCs w:val="32"/>
          <w:highlight w:val="none"/>
          <w:lang w:val="en-US" w:eastAsia="zh-CN"/>
        </w:rPr>
      </w:pPr>
      <w:bookmarkStart w:id="125" w:name="_Toc8004"/>
      <w:bookmarkStart w:id="126" w:name="_Toc27390"/>
      <w:r>
        <w:rPr>
          <w:rFonts w:hint="eastAsia" w:ascii="黑体" w:hAnsi="黑体" w:eastAsia="黑体" w:cs="黑体"/>
          <w:b w:val="0"/>
          <w:bCs w:val="0"/>
          <w:sz w:val="32"/>
          <w:szCs w:val="32"/>
          <w:highlight w:val="none"/>
          <w:lang w:val="en-US" w:eastAsia="zh-CN"/>
        </w:rPr>
        <w:t>四、</w:t>
      </w:r>
      <w:bookmarkEnd w:id="125"/>
      <w:r>
        <w:rPr>
          <w:rFonts w:hint="eastAsia" w:ascii="黑体" w:hAnsi="黑体" w:eastAsia="黑体" w:cs="黑体"/>
          <w:b w:val="0"/>
          <w:bCs w:val="0"/>
          <w:sz w:val="32"/>
          <w:szCs w:val="32"/>
          <w:highlight w:val="none"/>
          <w:lang w:val="en-US" w:eastAsia="zh-CN"/>
        </w:rPr>
        <w:t>农村生活污水治理规划</w:t>
      </w:r>
      <w:bookmarkEnd w:id="126"/>
    </w:p>
    <w:p>
      <w:pPr>
        <w:pStyle w:val="5"/>
        <w:pageBreakBefore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rPr>
      </w:pPr>
      <w:bookmarkStart w:id="127" w:name="_Toc11274"/>
      <w:bookmarkStart w:id="128" w:name="_Toc24202"/>
      <w:bookmarkStart w:id="129" w:name="_Toc2754"/>
      <w:r>
        <w:rPr>
          <w:rFonts w:hint="eastAsia" w:ascii="楷体_GB2312" w:hAnsi="楷体_GB2312" w:eastAsia="楷体_GB2312" w:cs="楷体_GB2312"/>
          <w:b w:val="0"/>
          <w:bCs w:val="0"/>
          <w:sz w:val="32"/>
          <w:szCs w:val="32"/>
          <w:lang w:eastAsia="zh-CN"/>
        </w:rPr>
        <w:t>（一）</w:t>
      </w:r>
      <w:r>
        <w:rPr>
          <w:rFonts w:hint="eastAsia" w:ascii="楷体_GB2312" w:hAnsi="楷体_GB2312" w:eastAsia="楷体_GB2312" w:cs="楷体_GB2312"/>
          <w:b w:val="0"/>
          <w:bCs w:val="0"/>
          <w:sz w:val="32"/>
          <w:szCs w:val="32"/>
        </w:rPr>
        <w:t>系统方案</w:t>
      </w:r>
      <w:bookmarkEnd w:id="127"/>
      <w:bookmarkEnd w:id="128"/>
    </w:p>
    <w:p>
      <w:pPr>
        <w:pStyle w:val="6"/>
        <w:pageBreakBefore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rPr>
      </w:pPr>
      <w:bookmarkStart w:id="130" w:name="_Toc31049"/>
      <w:bookmarkStart w:id="131" w:name="_Toc18808"/>
      <w:r>
        <w:rPr>
          <w:rFonts w:hint="eastAsia" w:ascii="仿宋_GB2312" w:hAnsi="仿宋_GB2312" w:eastAsia="仿宋_GB2312" w:cs="仿宋_GB2312"/>
          <w:sz w:val="32"/>
          <w:szCs w:val="32"/>
          <w:lang w:val="en-US" w:eastAsia="zh-CN"/>
        </w:rPr>
        <w:t>1.治理</w:t>
      </w:r>
      <w:r>
        <w:rPr>
          <w:rFonts w:hint="eastAsia" w:ascii="仿宋_GB2312" w:hAnsi="仿宋_GB2312" w:eastAsia="仿宋_GB2312" w:cs="仿宋_GB2312"/>
          <w:sz w:val="32"/>
          <w:szCs w:val="32"/>
        </w:rPr>
        <w:t>布局</w:t>
      </w:r>
      <w:bookmarkEnd w:id="130"/>
      <w:bookmarkEnd w:id="131"/>
    </w:p>
    <w:p>
      <w:pPr>
        <w:pStyle w:val="2"/>
        <w:pageBreakBefore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重点区域优先规划治理。</w:t>
      </w:r>
      <w:r>
        <w:rPr>
          <w:rFonts w:hint="eastAsia" w:ascii="仿宋_GB2312" w:hAnsi="仿宋_GB2312" w:eastAsia="仿宋_GB2312" w:cs="仿宋_GB2312"/>
          <w:sz w:val="32"/>
          <w:szCs w:val="32"/>
          <w:highlight w:val="none"/>
        </w:rPr>
        <w:t>按照《深化我省农村生活污水治理攻坚行动的指导意见》及其他重要文件要求，坚持问题导向，梯次推进，优先治理城乡结合部、中心村、黑臭水体集中区域、水源保护区、旅游风景区、美丽乡村风貌示范带、国考断面周边等重点区域内农村生活污水。保障重点区域生态环境质量，突出农村生活污水治理成效。</w:t>
      </w:r>
    </w:p>
    <w:bookmarkEnd w:id="129"/>
    <w:p>
      <w:pPr>
        <w:pStyle w:val="6"/>
        <w:pageBreakBefore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132" w:name="_Toc17145"/>
      <w:bookmarkStart w:id="133" w:name="_Toc4008"/>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污水收集系统</w:t>
      </w:r>
      <w:bookmarkEnd w:id="132"/>
      <w:r>
        <w:rPr>
          <w:rFonts w:hint="eastAsia" w:ascii="仿宋_GB2312" w:hAnsi="仿宋_GB2312" w:eastAsia="仿宋_GB2312" w:cs="仿宋_GB2312"/>
          <w:sz w:val="32"/>
          <w:szCs w:val="32"/>
          <w:lang w:val="en-US" w:eastAsia="zh-CN"/>
        </w:rPr>
        <w:t>建设</w:t>
      </w:r>
      <w:bookmarkEnd w:id="133"/>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1</w:t>
      </w: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rPr>
        <w:t>排水体制</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排水体制的选择是排水系统规划中的首要问题。它影响排水系统的设计、施工、维护和管理，同时也影响排水系统工程的总投资、初期投资和运行管理费用。村庄排水体制应结合当地经济发展条件、自然地理条件、居民生活习惯、原有排水设施及污水处理和回用现状等因素综合考虑确定。</w:t>
      </w:r>
    </w:p>
    <w:p>
      <w:pPr>
        <w:pStyle w:val="9"/>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按照排水收集、输送、处理的系统方式的不同，农村排水体制一般分为雨污合流制和雨污分流制。在农村地区，分流制可采用污水通过管道或暗渠化收集、雨水自然排放的形式。</w:t>
      </w:r>
      <w:r>
        <w:rPr>
          <w:rFonts w:hint="eastAsia" w:ascii="仿宋_GB2312" w:hAnsi="仿宋_GB2312" w:eastAsia="仿宋_GB2312" w:cs="仿宋_GB2312"/>
          <w:kern w:val="2"/>
          <w:sz w:val="32"/>
          <w:szCs w:val="32"/>
          <w:highlight w:val="none"/>
        </w:rPr>
        <w:t>按照我省农村人居环境整治及农村生活污水治理的相关要求，本</w:t>
      </w:r>
      <w:r>
        <w:rPr>
          <w:rFonts w:hint="eastAsia" w:ascii="仿宋_GB2312" w:hAnsi="仿宋_GB2312" w:eastAsia="仿宋_GB2312" w:cs="仿宋_GB2312"/>
          <w:kern w:val="2"/>
          <w:sz w:val="32"/>
          <w:szCs w:val="32"/>
          <w:highlight w:val="none"/>
          <w:lang w:val="en-US" w:eastAsia="zh-CN"/>
        </w:rPr>
        <w:t>方案结合城区实际情况，</w:t>
      </w:r>
      <w:r>
        <w:rPr>
          <w:rFonts w:hint="eastAsia" w:ascii="仿宋_GB2312" w:hAnsi="仿宋_GB2312" w:eastAsia="仿宋_GB2312" w:cs="仿宋_GB2312"/>
          <w:kern w:val="2"/>
          <w:sz w:val="32"/>
          <w:szCs w:val="32"/>
          <w:highlight w:val="none"/>
        </w:rPr>
        <w:t>按照采用分流制进行污水收集管网建设，建设单独的污水收集系统，雨水考虑自然排放。部分</w:t>
      </w:r>
      <w:r>
        <w:rPr>
          <w:rFonts w:hint="eastAsia" w:ascii="仿宋_GB2312" w:hAnsi="仿宋_GB2312" w:eastAsia="仿宋_GB2312" w:cs="仿宋_GB2312"/>
          <w:sz w:val="32"/>
          <w:szCs w:val="32"/>
          <w:highlight w:val="none"/>
        </w:rPr>
        <w:t>经济条件一般且已建成合流制系统的村庄，近期宜采用截流式合流制，中远期仍应逐步改造为分流制。</w:t>
      </w:r>
    </w:p>
    <w:p>
      <w:pPr>
        <w:pageBreakBefore w:val="0"/>
        <w:numPr>
          <w:ilvl w:val="0"/>
          <w:numId w:val="0"/>
        </w:numPr>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lang w:val="en-US" w:eastAsia="zh-CN"/>
        </w:rPr>
        <w:t xml:space="preserve">① </w:t>
      </w:r>
      <w:r>
        <w:rPr>
          <w:rFonts w:hint="eastAsia" w:ascii="仿宋_GB2312" w:hAnsi="仿宋_GB2312" w:eastAsia="仿宋_GB2312" w:cs="仿宋_GB2312"/>
          <w:b/>
          <w:bCs/>
          <w:sz w:val="32"/>
          <w:szCs w:val="32"/>
          <w:highlight w:val="none"/>
        </w:rPr>
        <w:t>截流式合流制（图4-</w:t>
      </w:r>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rPr>
        <w:t>）：</w:t>
      </w:r>
      <w:r>
        <w:rPr>
          <w:rFonts w:hint="eastAsia" w:ascii="仿宋_GB2312" w:hAnsi="仿宋_GB2312" w:eastAsia="仿宋_GB2312" w:cs="仿宋_GB2312"/>
          <w:sz w:val="32"/>
          <w:szCs w:val="32"/>
          <w:highlight w:val="none"/>
        </w:rPr>
        <w:t>污水进入处理设施前的主干管上设置截流井或其他截流措施。晴天和初降雨时的雨污混合水全部输送到污水处理设施，经处理后排入自然水体；随着降雨量增加，混合污水的流量超过截流干管的输水能力后，截流井截流部分雨污混合水，溢流部分直接排入自然水体。</w:t>
      </w:r>
    </w:p>
    <w:p>
      <w:pPr>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截流式合流制主要用于原本建有污水合流管网的村庄，优点是污水收集系统的改造难度较小，能收集污染物浓度较高的初期雨水，避免初期雨水对水体的污染，缺点是当降雨量过大时，通过溢流进入水体的混合污水对水体水质产生一定的污染。</w:t>
      </w:r>
    </w:p>
    <w:p>
      <w:pPr>
        <w:spacing w:line="360" w:lineRule="auto"/>
        <w:jc w:val="center"/>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object>
          <v:shape id="_x0000_i1025" o:spt="75" type="#_x0000_t75" style="height:118.55pt;width:339.95pt;" o:ole="t" filled="f" o:preferrelative="t" stroked="f" coordsize="21600,21600">
            <v:path/>
            <v:fill on="f" focussize="0,0"/>
            <v:stroke on="f"/>
            <v:imagedata r:id="rId23" o:title=""/>
            <o:lock v:ext="edit" aspectratio="t"/>
            <w10:wrap type="none"/>
            <w10:anchorlock/>
          </v:shape>
          <o:OLEObject Type="Embed" ProgID="Visio.Drawing.11" ShapeID="_x0000_i1025" DrawAspect="Content" ObjectID="_1468075725" r:id="rId22">
            <o:LockedField>false</o:LockedField>
          </o:OLEObject>
        </w:object>
      </w:r>
    </w:p>
    <w:p>
      <w:pPr>
        <w:pStyle w:val="35"/>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图4-1截流式合流制</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lang w:val="en-US" w:eastAsia="zh-CN"/>
        </w:rPr>
        <w:t xml:space="preserve">② </w:t>
      </w:r>
      <w:r>
        <w:rPr>
          <w:rFonts w:hint="eastAsia" w:ascii="仿宋_GB2312" w:hAnsi="仿宋_GB2312" w:eastAsia="仿宋_GB2312" w:cs="仿宋_GB2312"/>
          <w:b/>
          <w:bCs/>
          <w:sz w:val="32"/>
          <w:szCs w:val="32"/>
          <w:highlight w:val="none"/>
        </w:rPr>
        <w:t>完全分流制（图4-</w:t>
      </w:r>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rPr>
        <w:t>）：</w:t>
      </w:r>
      <w:r>
        <w:rPr>
          <w:rFonts w:hint="eastAsia" w:ascii="仿宋_GB2312" w:hAnsi="仿宋_GB2312" w:eastAsia="仿宋_GB2312" w:cs="仿宋_GB2312"/>
          <w:sz w:val="32"/>
          <w:szCs w:val="32"/>
          <w:highlight w:val="none"/>
        </w:rPr>
        <w:t>污水通过管道、沟渠排至污水处理设施进行处理，雨水自然排放或通过管道、沟渠排入水体。</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完全分流制的优点是卫生条件较好，保证了进入后续污水处理设施的污水浓度、降低了雨水带来的水量负荷，且避免了混合污水溢流产生的水体污染。缺点是需要建设两套独立的管网系统，工程投资大，无法解决初期雨水污染问题。</w:t>
      </w:r>
    </w:p>
    <w:p>
      <w:pPr>
        <w:jc w:val="center"/>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object>
          <v:shape id="_x0000_i1026" o:spt="75" type="#_x0000_t75" style="height:136.7pt;width:345.9pt;" o:ole="t" filled="f" o:preferrelative="t" stroked="f" coordsize="21600,21600">
            <v:path/>
            <v:fill on="f" focussize="0,0"/>
            <v:stroke on="f"/>
            <v:imagedata r:id="rId25" o:title=""/>
            <o:lock v:ext="edit" aspectratio="t"/>
            <w10:wrap type="none"/>
            <w10:anchorlock/>
          </v:shape>
          <o:OLEObject Type="Embed" ProgID="Visio.Drawing.11" ShapeID="_x0000_i1026" DrawAspect="Content" ObjectID="_1468075726" r:id="rId24">
            <o:LockedField>false</o:LockedField>
          </o:OLEObject>
        </w:object>
      </w:r>
    </w:p>
    <w:p>
      <w:pPr>
        <w:pStyle w:val="35"/>
        <w:bidi w:val="0"/>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图4-2 完全分流制</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2</w:t>
      </w:r>
      <w:r>
        <w:rPr>
          <w:rFonts w:hint="eastAsia" w:ascii="仿宋_GB2312" w:hAnsi="仿宋_GB2312" w:eastAsia="仿宋_GB2312" w:cs="仿宋_GB2312"/>
          <w:b/>
          <w:bCs/>
          <w:sz w:val="32"/>
          <w:szCs w:val="32"/>
          <w:highlight w:val="none"/>
          <w:lang w:eastAsia="zh-CN"/>
        </w:rPr>
        <w:t>）污水收集管网</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根据国家和广东省相关技术规定，城区各个自然村农村污水收集管网的建设需遵循以下要求：</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val="en-US" w:eastAsia="zh-CN"/>
        </w:rPr>
        <w:t xml:space="preserve">① </w:t>
      </w:r>
      <w:r>
        <w:rPr>
          <w:rFonts w:hint="eastAsia" w:ascii="仿宋_GB2312" w:hAnsi="仿宋_GB2312" w:eastAsia="仿宋_GB2312" w:cs="仿宋_GB2312"/>
          <w:b/>
          <w:bCs/>
          <w:sz w:val="32"/>
          <w:szCs w:val="32"/>
          <w:highlight w:val="none"/>
          <w:lang w:eastAsia="zh-CN"/>
        </w:rPr>
        <w:t>污水管道布置</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污水管道的布置应结合村庄规划、地形标高、排水流向等因素综合考虑，按照管线短、埋深合理、尽可能利用重力自流的原则进行布置，优先采用顺坡就势等建设成本低、施工速度快的管道布设方式。一般行车道下覆土不应小于0.7 m，在非车行道下宜采用浅埋的方式铺设，但覆土不宜小于0.3m。</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val="en-US" w:eastAsia="zh-CN"/>
        </w:rPr>
        <w:t xml:space="preserve">② </w:t>
      </w:r>
      <w:r>
        <w:rPr>
          <w:rFonts w:hint="eastAsia" w:ascii="仿宋_GB2312" w:hAnsi="仿宋_GB2312" w:eastAsia="仿宋_GB2312" w:cs="仿宋_GB2312"/>
          <w:b/>
          <w:bCs/>
          <w:sz w:val="32"/>
          <w:szCs w:val="32"/>
          <w:highlight w:val="none"/>
          <w:lang w:eastAsia="zh-CN"/>
        </w:rPr>
        <w:t>污水管道材质</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农村生活污水排水管道的管材选用应遵循性能可靠、工程造价合理、便于施工和维护的原则，并充分考虑管道沿线的地质条件。污水管道管材宜采用塑料排水管（包括PVC管、HDPE管等），也可根据实际情况采用金属管或混凝土管，管材的产品性能应符合国家或行业相关标准。</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val="en-US" w:eastAsia="zh-CN"/>
        </w:rPr>
        <w:t xml:space="preserve">③ </w:t>
      </w:r>
      <w:r>
        <w:rPr>
          <w:rFonts w:hint="eastAsia" w:ascii="仿宋_GB2312" w:hAnsi="仿宋_GB2312" w:eastAsia="仿宋_GB2312" w:cs="仿宋_GB2312"/>
          <w:b/>
          <w:bCs/>
          <w:sz w:val="32"/>
          <w:szCs w:val="32"/>
          <w:highlight w:val="none"/>
          <w:lang w:eastAsia="zh-CN"/>
        </w:rPr>
        <w:t>污水管道管径与连接</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eastAsia="zh-CN"/>
        </w:rPr>
        <w:t>农村生活污水接户管应接纳住户内产生的生活污水，接户管管径不得小于住户排出管径，一般不小于100mm。污水支管是接户管与主干管之间的连接管道，其管径不得小于接户管管径，一般不宜小于150mm。村庄污水主干管用于收集各污水支管的污水，管径不宜小于300mm，山区村庄主干管管径可根据实际，一般不宜小于200mm。</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eastAsia="zh-CN"/>
        </w:rPr>
        <w:t>在污水管道交汇处、转弯处、管径或坡度改变处、跌水处以及每</w:t>
      </w:r>
      <w:r>
        <w:rPr>
          <w:rFonts w:hint="eastAsia" w:ascii="仿宋_GB2312" w:hAnsi="仿宋_GB2312" w:eastAsia="仿宋_GB2312" w:cs="仿宋_GB2312"/>
          <w:sz w:val="32"/>
          <w:szCs w:val="32"/>
          <w:highlight w:val="none"/>
        </w:rPr>
        <w:t>隔30-40m处，应设置污水检查井，井内进水管管径不得大于出水管管径。污水检查井的内径应根据所连接的管道管径、数量和埋深确定，宜选用600×600方井或d700的圆井，污水支管间连接可采用500×500方井。</w:t>
      </w:r>
    </w:p>
    <w:p>
      <w:pPr>
        <w:pStyle w:val="6"/>
        <w:pageBreakBefore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134" w:name="_Toc24862"/>
      <w:bookmarkStart w:id="135" w:name="_Toc5825"/>
      <w:bookmarkStart w:id="136" w:name="_Toc16265"/>
      <w:r>
        <w:rPr>
          <w:rFonts w:hint="eastAsia" w:ascii="仿宋_GB2312" w:hAnsi="仿宋_GB2312" w:eastAsia="仿宋_GB2312" w:cs="仿宋_GB2312"/>
          <w:sz w:val="32"/>
          <w:szCs w:val="32"/>
          <w:lang w:val="en-US" w:eastAsia="zh-CN"/>
        </w:rPr>
        <w:t>3.治理模式类别及选用要点</w:t>
      </w:r>
      <w:bookmarkEnd w:id="134"/>
      <w:bookmarkEnd w:id="135"/>
      <w:bookmarkEnd w:id="136"/>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37" w:name="_Toc3923"/>
      <w:bookmarkStart w:id="138" w:name="_Toc29867"/>
      <w:bookmarkStart w:id="139" w:name="_Toc8935"/>
      <w:r>
        <w:rPr>
          <w:rFonts w:hint="eastAsia" w:ascii="仿宋_GB2312" w:hAnsi="仿宋_GB2312" w:eastAsia="仿宋_GB2312" w:cs="仿宋_GB2312"/>
          <w:b/>
          <w:bCs/>
          <w:sz w:val="32"/>
          <w:szCs w:val="32"/>
          <w:highlight w:val="none"/>
          <w:lang w:val="en-US" w:eastAsia="zh-CN"/>
        </w:rPr>
        <w:t>（1）治理模式类别</w:t>
      </w:r>
      <w:bookmarkEnd w:id="137"/>
      <w:bookmarkEnd w:id="138"/>
      <w:bookmarkEnd w:id="139"/>
    </w:p>
    <w:p>
      <w:pPr>
        <w:pStyle w:val="9"/>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目前农村生活污水治理模式主要有</w:t>
      </w:r>
      <w:r>
        <w:rPr>
          <w:rFonts w:hint="eastAsia" w:ascii="仿宋_GB2312" w:hAnsi="仿宋_GB2312" w:eastAsia="仿宋_GB2312" w:cs="仿宋_GB2312"/>
          <w:color w:val="000000" w:themeColor="text1"/>
          <w:sz w:val="32"/>
          <w:szCs w:val="32"/>
          <w14:textFill>
            <w14:solidFill>
              <w14:schemeClr w14:val="tx1"/>
            </w14:solidFill>
          </w14:textFill>
        </w:rPr>
        <w:t>入城镇污水收集处理系统、</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建设农村生活污水处理设施</w:t>
      </w:r>
      <w:r>
        <w:rPr>
          <w:rFonts w:hint="eastAsia" w:ascii="仿宋_GB2312" w:hAnsi="仿宋_GB2312" w:eastAsia="仿宋_GB2312" w:cs="仿宋_GB2312"/>
          <w:color w:val="000000" w:themeColor="text1"/>
          <w:sz w:val="32"/>
          <w:szCs w:val="32"/>
          <w14:textFill>
            <w14:solidFill>
              <w14:schemeClr w14:val="tx1"/>
            </w14:solidFill>
          </w14:textFill>
        </w:rPr>
        <w:t>、资源化利用等</w:t>
      </w:r>
      <w:r>
        <w:rPr>
          <w:rFonts w:hint="eastAsia" w:ascii="仿宋_GB2312" w:hAnsi="仿宋_GB2312" w:eastAsia="仿宋_GB2312" w:cs="仿宋_GB2312"/>
          <w:color w:val="000000" w:themeColor="text1"/>
          <w:sz w:val="32"/>
          <w:szCs w:val="32"/>
          <w:lang w:eastAsia="zh-CN"/>
          <w14:textFill>
            <w14:solidFill>
              <w14:schemeClr w14:val="tx1"/>
            </w14:solidFill>
          </w14:textFill>
        </w:rPr>
        <w:t>三种模式，每种模式采用根据村庄的实际情况而定。结合设计单位提供的不同村庄初步设计方案、管网覆盖范围及相应的常住人口资料，</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同时</w:t>
      </w:r>
      <w:r>
        <w:rPr>
          <w:rFonts w:hint="eastAsia" w:ascii="仿宋_GB2312" w:hAnsi="仿宋_GB2312" w:eastAsia="仿宋_GB2312" w:cs="仿宋_GB2312"/>
          <w:color w:val="000000" w:themeColor="text1"/>
          <w:sz w:val="32"/>
          <w:szCs w:val="32"/>
          <w:lang w:eastAsia="zh-CN"/>
          <w14:textFill>
            <w14:solidFill>
              <w14:schemeClr w14:val="tx1"/>
            </w14:solidFill>
          </w14:textFill>
        </w:rPr>
        <w:t>依据卫星影像了解村庄周边消纳场地情况，进而给出村庄的初步建议治理模式，针对可能具备资源化利用（或自然生态消纳）的村庄在进行现场调研，了解村庄排水情况、污水收集现状、周边消纳场地情况，进而与设计单位明确后将相关治理模式采用建议报业主决定。</w:t>
      </w:r>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40" w:name="_Toc15932"/>
      <w:bookmarkStart w:id="141" w:name="_Toc11721"/>
      <w:bookmarkStart w:id="142" w:name="_Toc11853"/>
      <w:r>
        <w:rPr>
          <w:rFonts w:hint="eastAsia" w:ascii="仿宋_GB2312" w:hAnsi="仿宋_GB2312" w:eastAsia="仿宋_GB2312" w:cs="仿宋_GB2312"/>
          <w:b/>
          <w:bCs/>
          <w:sz w:val="32"/>
          <w:szCs w:val="32"/>
          <w:highlight w:val="none"/>
          <w:lang w:val="en-US" w:eastAsia="zh-CN"/>
        </w:rPr>
        <w:t>（2）治理模式选用要点</w:t>
      </w:r>
      <w:bookmarkEnd w:id="140"/>
      <w:bookmarkEnd w:id="141"/>
      <w:bookmarkEnd w:id="142"/>
    </w:p>
    <w:p>
      <w:pPr>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农村生活污水处理模式应根据村庄所在位置、人口规模、聚集程度、地形地貌、排水特点及经济承受能力等因素确定。</w:t>
      </w:r>
      <w:r>
        <w:rPr>
          <w:rFonts w:hint="eastAsia" w:ascii="仿宋_GB2312" w:hAnsi="仿宋_GB2312" w:eastAsia="仿宋_GB2312" w:cs="仿宋_GB2312"/>
          <w:color w:val="000000" w:themeColor="text1"/>
          <w:sz w:val="32"/>
          <w:szCs w:val="32"/>
          <w:lang w:eastAsia="zh-CN"/>
          <w14:textFill>
            <w14:solidFill>
              <w14:schemeClr w14:val="tx1"/>
            </w14:solidFill>
          </w14:textFill>
        </w:rPr>
        <w:t>城区</w:t>
      </w:r>
      <w:r>
        <w:rPr>
          <w:rFonts w:hint="eastAsia" w:ascii="仿宋_GB2312" w:hAnsi="仿宋_GB2312" w:eastAsia="仿宋_GB2312" w:cs="仿宋_GB2312"/>
          <w:color w:val="000000" w:themeColor="text1"/>
          <w:sz w:val="32"/>
          <w:szCs w:val="32"/>
          <w14:textFill>
            <w14:solidFill>
              <w14:schemeClr w14:val="tx1"/>
            </w14:solidFill>
          </w14:textFill>
        </w:rPr>
        <w:t>不同村庄之间的地形差异较大、农户居住分布情况不一，应采用多元化的污水治理模式，因地制宜采用纳入城镇污水收集处理系统、</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建设农村生活污水处理设施</w:t>
      </w:r>
      <w:r>
        <w:rPr>
          <w:rFonts w:hint="eastAsia" w:ascii="仿宋_GB2312" w:hAnsi="仿宋_GB2312" w:eastAsia="仿宋_GB2312" w:cs="仿宋_GB2312"/>
          <w:color w:val="000000" w:themeColor="text1"/>
          <w:sz w:val="32"/>
          <w:szCs w:val="32"/>
          <w14:textFill>
            <w14:solidFill>
              <w14:schemeClr w14:val="tx1"/>
            </w14:solidFill>
          </w14:textFill>
        </w:rPr>
        <w:t>、资源化利用等污水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治理</w:t>
      </w:r>
      <w:r>
        <w:rPr>
          <w:rFonts w:hint="eastAsia" w:ascii="仿宋_GB2312" w:hAnsi="仿宋_GB2312" w:eastAsia="仿宋_GB2312" w:cs="仿宋_GB2312"/>
          <w:color w:val="000000" w:themeColor="text1"/>
          <w:sz w:val="32"/>
          <w:szCs w:val="32"/>
          <w14:textFill>
            <w14:solidFill>
              <w14:schemeClr w14:val="tx1"/>
            </w14:solidFill>
          </w14:textFill>
        </w:rPr>
        <w:t>模式。</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sz w:val="32"/>
          <w:szCs w:val="32"/>
          <w:highlight w:val="none"/>
          <w:lang w:val="en-US" w:eastAsia="zh-CN"/>
        </w:rPr>
        <w:t xml:space="preserve">① </w:t>
      </w:r>
      <w:r>
        <w:rPr>
          <w:rFonts w:hint="eastAsia" w:ascii="仿宋_GB2312" w:hAnsi="仿宋_GB2312" w:eastAsia="仿宋_GB2312" w:cs="仿宋_GB2312"/>
          <w:b/>
          <w:bCs/>
          <w:color w:val="000000" w:themeColor="text1"/>
          <w:sz w:val="32"/>
          <w:szCs w:val="32"/>
          <w14:textFill>
            <w14:solidFill>
              <w14:schemeClr w14:val="tx1"/>
            </w14:solidFill>
          </w14:textFill>
        </w:rPr>
        <w:t>纳入城镇污水系统处理—纳厂</w:t>
      </w:r>
    </w:p>
    <w:p>
      <w:pPr>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村庄污水经管道收集后集中汇入市政污水收集管网，最后集中至相应的污水处理厂（站）进行处理</w:t>
      </w:r>
      <w:r>
        <w:rPr>
          <w:rFonts w:hint="eastAsia" w:ascii="仿宋_GB2312" w:hAnsi="仿宋_GB2312" w:eastAsia="仿宋_GB2312" w:cs="仿宋_GB2312"/>
          <w:color w:val="000000" w:themeColor="text1"/>
          <w:sz w:val="32"/>
          <w:szCs w:val="32"/>
          <w14:textFill>
            <w14:solidFill>
              <w14:schemeClr w14:val="tx1"/>
            </w14:solidFill>
          </w14:textFill>
        </w:rPr>
        <w:t>。</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适用范围：</w:t>
      </w:r>
      <w:r>
        <w:rPr>
          <w:rFonts w:hint="eastAsia" w:ascii="仿宋_GB2312" w:hAnsi="仿宋_GB2312" w:eastAsia="仿宋_GB2312" w:cs="仿宋_GB2312"/>
          <w:color w:val="000000" w:themeColor="text1"/>
          <w:sz w:val="32"/>
          <w:szCs w:val="32"/>
          <w14:textFill>
            <w14:solidFill>
              <w14:schemeClr w14:val="tx1"/>
            </w14:solidFill>
          </w14:textFill>
        </w:rPr>
        <w:t>城镇周边</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一般距离城镇3km范围内</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、属于城镇污水处理厂规划服务范围内</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一般在污水处理厂5km内</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人口集中，</w:t>
      </w:r>
      <w:r>
        <w:rPr>
          <w:rFonts w:hint="eastAsia" w:ascii="仿宋_GB2312" w:hAnsi="仿宋_GB2312" w:eastAsia="仿宋_GB2312" w:cs="仿宋_GB2312"/>
          <w:color w:val="000000" w:themeColor="text1"/>
          <w:sz w:val="32"/>
          <w:szCs w:val="32"/>
          <w14:textFill>
            <w14:solidFill>
              <w14:schemeClr w14:val="tx1"/>
            </w14:solidFill>
          </w14:textFill>
        </w:rPr>
        <w:t>且满足市政排水管网接入要求的村庄，优先选择将居民生活污水接入城镇污水收集管网，由城镇污水处理厂统一处理。</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适用收集模式：</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采用纳入城镇污水处理系统（简称纳厂）模式的村庄宜采用雨污分流收集模式。污水进入城镇污水处理厂处理后，排放标准按照已建污水处理厂排放标准执行。</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实施要点：</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一是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主要为收集管网建设</w:t>
      </w:r>
      <w:r>
        <w:rPr>
          <w:rFonts w:hint="eastAsia" w:ascii="仿宋_GB2312" w:hAnsi="仿宋_GB2312" w:eastAsia="仿宋_GB2312" w:cs="仿宋_GB2312"/>
          <w:color w:val="000000" w:themeColor="text1"/>
          <w:sz w:val="32"/>
          <w:szCs w:val="32"/>
          <w14:textFill>
            <w14:solidFill>
              <w14:schemeClr w14:val="tx1"/>
            </w14:solidFill>
          </w14:textFill>
        </w:rPr>
        <w:t>。</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二是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收集管网宜优先考虑雨污分流收集模式，接户应黑水和灰水统一收集。</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治理认定要求：</w:t>
      </w:r>
    </w:p>
    <w:p>
      <w:pPr>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同时满足污水处理厂正常运行、村庄污水收集主管与城镇污水管网连接、通水运行并达标排放，</w:t>
      </w:r>
      <w:r>
        <w:rPr>
          <w:rFonts w:hint="eastAsia" w:ascii="仿宋_GB2312" w:hAnsi="仿宋_GB2312" w:eastAsia="仿宋_GB2312" w:cs="仿宋_GB2312"/>
          <w:color w:val="000000" w:themeColor="text1"/>
          <w:sz w:val="32"/>
          <w:szCs w:val="32"/>
          <w14:textFill>
            <w14:solidFill>
              <w14:schemeClr w14:val="tx1"/>
            </w14:solidFill>
          </w14:textFill>
        </w:rPr>
        <w:t>方可认定完成污水治理</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仿宋_GB2312" w:cs="Times New Roman"/>
          <w:sz w:val="32"/>
          <w:szCs w:val="32"/>
          <w:lang w:val="en-US" w:eastAsia="zh-CN" w:bidi="ar"/>
        </w:rPr>
      </w:pPr>
      <w:r>
        <w:rPr>
          <w:rFonts w:hint="default" w:ascii="Times New Roman" w:hAnsi="Times New Roman" w:cs="Times New Roman"/>
        </w:rPr>
        <w:drawing>
          <wp:inline distT="0" distB="0" distL="114300" distR="114300">
            <wp:extent cx="5032375" cy="3349625"/>
            <wp:effectExtent l="9525" t="9525" r="25400" b="12700"/>
            <wp:docPr id="70" name="图片 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true"/>
                    </pic:cNvPicPr>
                  </pic:nvPicPr>
                  <pic:blipFill>
                    <a:blip r:embed="rId26"/>
                    <a:stretch>
                      <a:fillRect/>
                    </a:stretch>
                  </pic:blipFill>
                  <pic:spPr>
                    <a:xfrm>
                      <a:off x="0" y="0"/>
                      <a:ext cx="5032375" cy="3349625"/>
                    </a:xfrm>
                    <a:prstGeom prst="rect">
                      <a:avLst/>
                    </a:prstGeom>
                    <a:noFill/>
                    <a:ln>
                      <a:solidFill>
                        <a:schemeClr val="bg2"/>
                      </a:solidFill>
                    </a:ln>
                  </pic:spPr>
                </pic:pic>
              </a:graphicData>
            </a:graphic>
          </wp:inline>
        </w:drawing>
      </w:r>
    </w:p>
    <w:p>
      <w:pPr>
        <w:pStyle w:val="35"/>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图4-3 纳厂治理模式示意图</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sz w:val="32"/>
          <w:szCs w:val="32"/>
          <w:highlight w:val="none"/>
          <w:lang w:val="en-US" w:eastAsia="zh-CN"/>
        </w:rPr>
        <w:t xml:space="preserve">② </w:t>
      </w:r>
      <w:r>
        <w:rPr>
          <w:rFonts w:hint="eastAsia" w:ascii="仿宋_GB2312" w:hAnsi="仿宋_GB2312" w:eastAsia="仿宋_GB2312" w:cs="仿宋_GB2312"/>
          <w:b/>
          <w:bCs/>
          <w:color w:val="000000" w:themeColor="text1"/>
          <w:sz w:val="32"/>
          <w:szCs w:val="32"/>
          <w14:textFill>
            <w14:solidFill>
              <w14:schemeClr w14:val="tx1"/>
            </w14:solidFill>
          </w14:textFill>
        </w:rPr>
        <w:t>集中或分散处理模式</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14:textFill>
            <w14:solidFill>
              <w14:schemeClr w14:val="tx1"/>
            </w14:solidFill>
          </w14:textFill>
        </w:rPr>
        <w:t>建设设施</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在村庄内及周边建设小型的污水处理设施（规模一般在10-200 m</w:t>
      </w:r>
      <w:r>
        <w:rPr>
          <w:rFonts w:hint="eastAsia" w:ascii="仿宋_GB2312" w:hAnsi="仿宋_GB2312" w:eastAsia="仿宋_GB2312" w:cs="仿宋_GB2312"/>
          <w:color w:val="000000" w:themeColor="text1"/>
          <w:sz w:val="32"/>
          <w:szCs w:val="32"/>
          <w:vertAlign w:val="superscript"/>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d之间），将管道收集的污水就地集中处理，然后排放至周边农田灌渠、池塘或排渠等受纳体</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适用范围：</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使用居住相对集中的单个村庄或多个相邻村庄（一般距离在1km内），且距离城镇较远或不在污水处理厂服务范围内，可选用建设农村生活污水处理设施，建设统一的污水处理设施及配套收集管网。采用建设农村生活污水处理设施模式的村庄宜优先集中收集后，统一建设规模大的处理设施，减少设施数量，降低运维管理难度。</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适用收集模式：</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在条件允许的情况下，应优先采用雨污分流制。新建村庄居住区、移民新村、传统村落改造等应采用雨污分流制。经济条件一般、分流制困难以及已经采用合流制的村庄，近阶段可采用截流式合流制。在进入处理设施前的主干管上设置截流井或其他截流设施。晴天污水和下雨初期雨污混合水输送到污水处理设施处理后排放，混合污水超过截流管输水能力后溢流排入附近水体。</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实施要点：</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一是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主要为收集管网和处理设施建设。</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二是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收集管网宜根据村庄情况采用适宜的收集方式，接户应黑水和灰水统一收集。</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三是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处理设施建设宜因地制宜采用合适的处理规模、工艺、排放标准，处理规模宜以管网收集覆盖区域常住人口作为参考依据；工艺选用宜与收集方式、排放标准相衔接。</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治理认定要求：</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满足设施正常运转、设施出水执行我省《农村生活污水处理排放标准》（DB 44/2208-2019）且排放口水质检测达标、设施运维人员和资金应得到有效保障的村庄，方可认定完成污水治理。</w:t>
      </w:r>
    </w:p>
    <w:p>
      <w:pPr>
        <w:ind w:left="0" w:leftChars="0" w:right="0" w:rightChars="0"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906010" cy="2522855"/>
            <wp:effectExtent l="9525" t="9525" r="18415" b="20320"/>
            <wp:docPr id="71" name="图片 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true"/>
                    </pic:cNvPicPr>
                  </pic:nvPicPr>
                  <pic:blipFill>
                    <a:blip r:embed="rId27"/>
                    <a:stretch>
                      <a:fillRect/>
                    </a:stretch>
                  </pic:blipFill>
                  <pic:spPr>
                    <a:xfrm>
                      <a:off x="0" y="0"/>
                      <a:ext cx="4906010" cy="2522855"/>
                    </a:xfrm>
                    <a:prstGeom prst="rect">
                      <a:avLst/>
                    </a:prstGeom>
                    <a:noFill/>
                    <a:ln>
                      <a:solidFill>
                        <a:schemeClr val="bg2"/>
                      </a:solidFill>
                    </a:ln>
                  </pic:spPr>
                </pic:pic>
              </a:graphicData>
            </a:graphic>
          </wp:inline>
        </w:drawing>
      </w:r>
    </w:p>
    <w:p>
      <w:pPr>
        <w:pStyle w:val="35"/>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图4-4 建设设施治理模式示意图</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（3）资源化利用</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或自然生态消纳</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人口少、居住较为分散的村庄或片区，在具备资源化利用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或自然生态消纳</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的条件（污水可有效用于种植利用、自然土地消纳等）的下，可完善资源化利用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或自然生态消纳</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配套设施设备，采用</w:t>
      </w:r>
      <w:r>
        <w:rPr>
          <w:rFonts w:hint="eastAsia" w:ascii="仿宋_GB2312" w:hAnsi="仿宋_GB2312" w:eastAsia="仿宋_GB2312" w:cs="仿宋_GB2312"/>
          <w:color w:val="000000" w:themeColor="text1"/>
          <w:sz w:val="32"/>
          <w:szCs w:val="32"/>
          <w14:textFill>
            <w14:solidFill>
              <w14:schemeClr w14:val="tx1"/>
            </w14:solidFill>
          </w14:textFill>
        </w:rPr>
        <w:t>资源化利用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或自然生态消纳</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治理模式有效管控生活污水。</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适用范围：</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人口较少、居住分散、环境容量大的村庄、片区或农户，以及部分难以纳管集中处理的村庄也可结合实际情况，可结合实际情况选用污水资源化利用模式。</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采用污水资源化利用模式村庄、片区或农户应满足以下要求：</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一是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资源化利用应明确污水资源化利用的受纳体，如：农田、旱地、林地、水塘或房前屋后“四小园”等；</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二是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建立农户污水到受纳体之间的收集输送系统（可利用管网（暗渠）或抽吸设备）；</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三是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并结合受纳体情况和利用特点，完善配套污水暂存设施或增加预处理等需求；</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四是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进入受纳体的污水负荷不应超过受纳体环境容量，受纳体及周边不形成黑臭水体、不造成其他污染等环境质量恶化现象，受纳体生态环境能够保持良性循环、卫生环境良好。</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适用收集模式：</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采用污水资源化利用的村庄宜采用分散收集的方式，单户或几户就地就近接入不同受纳体消纳利用。</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实施要点：</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一是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资源化利用系统应包含（但不限于）：受纳体、输送系统以及按需配置的暂存或预处理设施。</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二是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主要为明确污水资源化消纳处理的受纳体，如：农田、旱地、林地、水塘或房前屋后“四小园”等；建立农户污水到受纳体之间的收集输送系统；并根据实际需要，完善配套污水暂存设施或预处理设施。</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三是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资源化利用遵循“就地就近，分散处理、生态循环”原则，污水就地就近分散接入村庄周边多个受纳体，进入受纳体的污水负荷不得超过受纳体最低消纳能力，受纳体及周边生态、卫生环境维持良好，不出现黑臭水体、环境污染或质量下降、农作物品质降低等负面影响。</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治理要求：</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采用污水资源化利用的村庄，在满足农田灌溉、施肥等资源化利用相关标准同时，应满足以下要求：1、有农田、水塘或房前屋后小菜园、小果园等明确的污水资源化利用受纳体；2、已配套污水暂存设施及输送至利用场地的设施设备或管网暗渠，建立了明确的资源化利用（或自然生态消纳）途径；3、污水排放不超过资源化利用受纳体的环境容量，受纳体及周边不形成黑臭水体，不造成环境污染，污水资源化整体能够保持良性生态循环；4、污水原则不直接排入河涌、水网等快速流动水体资源化利用。</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5267325" cy="1074420"/>
            <wp:effectExtent l="9525" t="9525" r="19050" b="20955"/>
            <wp:docPr id="72"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true"/>
                    </pic:cNvPicPr>
                  </pic:nvPicPr>
                  <pic:blipFill>
                    <a:blip r:embed="rId28"/>
                    <a:stretch>
                      <a:fillRect/>
                    </a:stretch>
                  </pic:blipFill>
                  <pic:spPr>
                    <a:xfrm>
                      <a:off x="0" y="0"/>
                      <a:ext cx="5267325" cy="1074420"/>
                    </a:xfrm>
                    <a:prstGeom prst="rect">
                      <a:avLst/>
                    </a:prstGeom>
                    <a:noFill/>
                    <a:ln>
                      <a:solidFill>
                        <a:schemeClr val="bg2"/>
                      </a:solidFill>
                    </a:ln>
                  </pic:spPr>
                </pic:pic>
              </a:graphicData>
            </a:graphic>
          </wp:inline>
        </w:drawing>
      </w:r>
    </w:p>
    <w:p>
      <w:pPr>
        <w:pStyle w:val="35"/>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图4-5 资源化利用治理模式示意图</w:t>
      </w:r>
    </w:p>
    <w:p>
      <w:pPr>
        <w:pStyle w:val="6"/>
        <w:pageBreakBefore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143" w:name="_Toc29203"/>
      <w:bookmarkStart w:id="144" w:name="_Toc25545"/>
      <w:bookmarkStart w:id="145" w:name="_Toc5601"/>
      <w:r>
        <w:rPr>
          <w:rFonts w:hint="eastAsia" w:ascii="仿宋_GB2312" w:hAnsi="仿宋_GB2312" w:eastAsia="仿宋_GB2312" w:cs="仿宋_GB2312"/>
          <w:sz w:val="32"/>
          <w:szCs w:val="32"/>
          <w:lang w:val="en-US" w:eastAsia="zh-CN"/>
        </w:rPr>
        <w:t>4.治理工艺</w:t>
      </w:r>
      <w:bookmarkEnd w:id="143"/>
      <w:bookmarkEnd w:id="144"/>
      <w:r>
        <w:rPr>
          <w:rFonts w:hint="eastAsia" w:ascii="仿宋_GB2312" w:hAnsi="仿宋_GB2312" w:eastAsia="仿宋_GB2312" w:cs="仿宋_GB2312"/>
          <w:sz w:val="32"/>
          <w:szCs w:val="32"/>
          <w:lang w:val="en-US" w:eastAsia="zh-CN"/>
        </w:rPr>
        <w:t>选择</w:t>
      </w:r>
      <w:bookmarkEnd w:id="145"/>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46" w:name="_Toc5049"/>
      <w:bookmarkStart w:id="147" w:name="_Toc29134"/>
      <w:bookmarkStart w:id="148" w:name="_Toc13707"/>
      <w:bookmarkStart w:id="149" w:name="_Toc30033"/>
      <w:r>
        <w:rPr>
          <w:rFonts w:hint="eastAsia" w:ascii="仿宋_GB2312" w:hAnsi="仿宋_GB2312" w:eastAsia="仿宋_GB2312" w:cs="仿宋_GB2312"/>
          <w:b/>
          <w:bCs/>
          <w:sz w:val="32"/>
          <w:szCs w:val="32"/>
          <w:highlight w:val="none"/>
          <w:lang w:val="en-US" w:eastAsia="zh-CN"/>
        </w:rPr>
        <w:t>（1）处理工艺选择原则</w:t>
      </w:r>
      <w:bookmarkEnd w:id="146"/>
      <w:bookmarkEnd w:id="147"/>
      <w:bookmarkEnd w:id="148"/>
      <w:bookmarkEnd w:id="149"/>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lang w:val="en-US" w:eastAsia="zh-CN"/>
        </w:rPr>
        <w:t xml:space="preserve">① </w:t>
      </w:r>
      <w:r>
        <w:rPr>
          <w:rFonts w:hint="eastAsia" w:ascii="仿宋_GB2312" w:hAnsi="仿宋_GB2312" w:eastAsia="仿宋_GB2312" w:cs="仿宋_GB2312"/>
          <w:sz w:val="32"/>
          <w:szCs w:val="32"/>
          <w:highlight w:val="none"/>
        </w:rPr>
        <w:t>农村生活污水处理技术工艺的选择要因地制宜，应结合处理污水的特征、地理条件、自然气候条件、投资运行成本以及受纳水体的环境功能等因素综合考虑确定。</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lang w:val="en-US" w:eastAsia="zh-CN"/>
        </w:rPr>
        <w:t xml:space="preserve">② </w:t>
      </w:r>
      <w:r>
        <w:rPr>
          <w:rFonts w:hint="eastAsia" w:ascii="仿宋_GB2312" w:hAnsi="仿宋_GB2312" w:eastAsia="仿宋_GB2312" w:cs="仿宋_GB2312"/>
          <w:sz w:val="32"/>
          <w:szCs w:val="32"/>
          <w:highlight w:val="none"/>
        </w:rPr>
        <w:t>宜优先选择成熟可靠、低成本、低能耗、易维护、高效率的污水处理技术。鼓励有条件的地区采用湿地、稳定塘等生态系统进行深度处理。</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lang w:val="en-US" w:eastAsia="zh-CN"/>
        </w:rPr>
        <w:t xml:space="preserve">③ </w:t>
      </w:r>
      <w:r>
        <w:rPr>
          <w:rFonts w:hint="eastAsia" w:ascii="仿宋_GB2312" w:hAnsi="仿宋_GB2312" w:eastAsia="仿宋_GB2312" w:cs="仿宋_GB2312"/>
          <w:sz w:val="32"/>
          <w:szCs w:val="32"/>
          <w:highlight w:val="none"/>
        </w:rPr>
        <w:t>鼓励优先选择氮磷资源化与尾水利用的技术手段或途径。厕所粪污可经无害化处理后，就近用于庭院绿化和农田灌溉等。可通过农田沟渠、塘堰等排灌系统生态化改造，栽植水生植物，建设植物隔离带、生态湿地等，对尾水进一步消纳和利用。</w:t>
      </w:r>
    </w:p>
    <w:p>
      <w:pPr>
        <w:pageBreakBefore w:val="0"/>
        <w:widowControl/>
        <w:numPr>
          <w:ilvl w:val="2"/>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50" w:name="_Toc11289"/>
      <w:bookmarkStart w:id="151" w:name="_Toc19569"/>
      <w:bookmarkStart w:id="152" w:name="_Toc28528"/>
      <w:bookmarkStart w:id="153" w:name="_Toc26525"/>
      <w:r>
        <w:rPr>
          <w:rFonts w:hint="eastAsia" w:ascii="仿宋_GB2312" w:hAnsi="仿宋_GB2312" w:eastAsia="仿宋_GB2312" w:cs="仿宋_GB2312"/>
          <w:b/>
          <w:bCs/>
          <w:sz w:val="32"/>
          <w:szCs w:val="32"/>
          <w:highlight w:val="none"/>
          <w:lang w:val="en-US" w:eastAsia="zh-CN"/>
        </w:rPr>
        <w:t>（2）农村生活污水处理工艺</w:t>
      </w:r>
      <w:bookmarkEnd w:id="150"/>
      <w:bookmarkEnd w:id="151"/>
      <w:bookmarkEnd w:id="152"/>
      <w:bookmarkEnd w:id="153"/>
    </w:p>
    <w:p>
      <w:pPr>
        <w:pageBreakBefore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bidi="ar"/>
        </w:rPr>
      </w:pPr>
      <w:r>
        <w:rPr>
          <w:rFonts w:hint="eastAsia" w:ascii="仿宋_GB2312" w:hAnsi="仿宋_GB2312" w:eastAsia="仿宋_GB2312" w:cs="仿宋_GB2312"/>
          <w:sz w:val="32"/>
          <w:szCs w:val="32"/>
          <w:highlight w:val="none"/>
          <w:lang w:bidi="ar"/>
        </w:rPr>
        <w:t>农村生活污水处理工艺有多种形式，</w:t>
      </w:r>
      <w:r>
        <w:rPr>
          <w:rFonts w:hint="eastAsia" w:ascii="仿宋_GB2312" w:hAnsi="仿宋_GB2312" w:eastAsia="仿宋_GB2312" w:cs="仿宋_GB2312"/>
          <w:sz w:val="32"/>
          <w:szCs w:val="32"/>
          <w:highlight w:val="none"/>
          <w:lang w:val="en-US" w:eastAsia="zh-CN" w:bidi="ar"/>
        </w:rPr>
        <w:t>考虑汕尾市城区已签订农村生活污水治理PPP合同，且PPP项目推进情况良好，为了有效衔接PPP项目内容与“十四五”农村生活污水治理规划，在现场调研充分了解PPP项目已建设施运行情况后，本次汕尾市城区农村生活污水治理工艺选择AAO+BAF+紫外线消毒工艺。</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bidi="ar"/>
        </w:rPr>
      </w:pPr>
      <w:r>
        <w:rPr>
          <w:rFonts w:hint="eastAsia" w:ascii="仿宋_GB2312" w:hAnsi="仿宋_GB2312" w:eastAsia="仿宋_GB2312" w:cs="仿宋_GB2312"/>
          <w:b/>
          <w:bCs/>
          <w:sz w:val="32"/>
          <w:szCs w:val="32"/>
          <w:highlight w:val="none"/>
          <w:lang w:val="en-US" w:eastAsia="zh-CN"/>
        </w:rPr>
        <w:t xml:space="preserve">① </w:t>
      </w:r>
      <w:r>
        <w:rPr>
          <w:rFonts w:hint="eastAsia" w:ascii="仿宋_GB2312" w:hAnsi="仿宋_GB2312" w:eastAsia="仿宋_GB2312" w:cs="仿宋_GB2312"/>
          <w:b/>
          <w:bCs/>
          <w:sz w:val="32"/>
          <w:szCs w:val="32"/>
          <w:highlight w:val="none"/>
          <w:lang w:bidi="ar"/>
        </w:rPr>
        <w:t>厌氧+缺氧+好氧（A/A/O）</w:t>
      </w:r>
    </w:p>
    <w:p>
      <w:pPr>
        <w:pageBreakBefore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b/>
          <w:bCs/>
          <w:sz w:val="32"/>
          <w:szCs w:val="32"/>
          <w:highlight w:val="none"/>
          <w:lang w:bidi="ar"/>
        </w:rPr>
        <w:t>工艺流程：</w:t>
      </w:r>
      <w:r>
        <w:rPr>
          <w:rFonts w:hint="eastAsia" w:ascii="仿宋_GB2312" w:hAnsi="仿宋_GB2312" w:eastAsia="仿宋_GB2312" w:cs="仿宋_GB2312"/>
          <w:sz w:val="32"/>
          <w:szCs w:val="32"/>
          <w:highlight w:val="none"/>
          <w:lang w:bidi="ar"/>
        </w:rPr>
        <w:t>农村生活污水经预处理后，依次经过厌氧、缺氧、好氧活性污泥反应池，在厌氧段中完成水解酸化以及厌氧微生物中磷的释放，在缺氧段中进行反硝化作用，在好氧段中进行硝化作用以及大部分有机物的降解，活性污泥反应池出水进入沉淀池进行泥水分离，完成处理后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仿宋_GB2312" w:hAnsi="仿宋_GB2312" w:eastAsia="仿宋_GB2312" w:cs="仿宋_GB2312"/>
          <w:sz w:val="32"/>
          <w:szCs w:val="32"/>
          <w:highlight w:val="none"/>
          <w:lang w:bidi="ar"/>
        </w:rPr>
      </w:pPr>
      <w:r>
        <w:rPr>
          <w:rFonts w:hint="default" w:ascii="Times New Roman" w:hAnsi="Times New Roman" w:eastAsia="宋体" w:cs="Times New Roman"/>
          <w:sz w:val="28"/>
          <w:szCs w:val="28"/>
          <w:highlight w:val="none"/>
          <w:lang w:bidi="ar"/>
        </w:rPr>
        <w:object>
          <v:shape id="_x0000_i1027" o:spt="75" type="#_x0000_t75" style="height:96pt;width:454.45pt;" o:ole="t" filled="f" o:preferrelative="t" stroked="f" coordsize="21600,21600">
            <v:path/>
            <v:fill on="f" focussize="0,0"/>
            <v:stroke on="f"/>
            <v:imagedata r:id="rId30" o:title=""/>
            <o:lock v:ext="edit" aspectratio="t"/>
            <w10:wrap type="none"/>
            <w10:anchorlock/>
          </v:shape>
          <o:OLEObject Type="Embed" ProgID="Visio.Drawing.11" ShapeID="_x0000_i1027" DrawAspect="Content" ObjectID="_1468075727" r:id="rId29">
            <o:LockedField>false</o:LockedField>
          </o:OLEObject>
        </w:object>
      </w:r>
      <w:r>
        <w:rPr>
          <w:rFonts w:hint="eastAsia" w:ascii="Times New Roman" w:hAnsi="Times New Roman" w:eastAsia="宋体" w:cs="Times New Roman"/>
          <w:sz w:val="28"/>
          <w:szCs w:val="28"/>
          <w:highlight w:val="none"/>
          <w:lang w:val="en-US" w:eastAsia="zh-CN" w:bidi="ar"/>
        </w:rPr>
        <w:t xml:space="preserve">    </w:t>
      </w:r>
      <w:r>
        <w:rPr>
          <w:rFonts w:hint="eastAsia" w:ascii="仿宋_GB2312" w:hAnsi="仿宋_GB2312" w:eastAsia="仿宋_GB2312" w:cs="仿宋_GB2312"/>
          <w:b/>
          <w:bCs/>
          <w:sz w:val="32"/>
          <w:szCs w:val="32"/>
          <w:highlight w:val="none"/>
          <w:lang w:bidi="ar"/>
        </w:rPr>
        <w:t>优缺点：</w:t>
      </w:r>
      <w:r>
        <w:rPr>
          <w:rFonts w:hint="eastAsia" w:ascii="仿宋_GB2312" w:hAnsi="仿宋_GB2312" w:eastAsia="仿宋_GB2312" w:cs="仿宋_GB2312"/>
          <w:sz w:val="32"/>
          <w:szCs w:val="32"/>
          <w:highlight w:val="none"/>
          <w:lang w:bidi="ar"/>
        </w:rPr>
        <w:t>处理效果较好，对水质、水量变化适应性强，运行效果稳定。需要设置污泥回流和硝化液回流，产生剩余污泥需要定期清理，生化反应池需设置曝气，增加运行费用。</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left"/>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b/>
          <w:bCs/>
          <w:sz w:val="32"/>
          <w:szCs w:val="32"/>
          <w:highlight w:val="none"/>
          <w:lang w:bidi="ar"/>
        </w:rPr>
        <w:t>适用条件：</w:t>
      </w:r>
      <w:r>
        <w:rPr>
          <w:rFonts w:hint="eastAsia" w:ascii="仿宋_GB2312" w:hAnsi="仿宋_GB2312" w:eastAsia="仿宋_GB2312" w:cs="仿宋_GB2312"/>
          <w:sz w:val="32"/>
          <w:szCs w:val="32"/>
          <w:highlight w:val="none"/>
          <w:lang w:bidi="ar"/>
        </w:rPr>
        <w:t>出水水质要求达到广东省《农村生活污水处理排放标准》一级标准，污水处理规模较大、经济条件中等及以上的村庄可选用该工艺。</w:t>
      </w:r>
    </w:p>
    <w:p>
      <w:pPr>
        <w:pStyle w:val="2"/>
        <w:keepNext w:val="0"/>
        <w:keepLines w:val="0"/>
        <w:pageBreakBefore w:val="0"/>
        <w:widowControl w:val="0"/>
        <w:kinsoku/>
        <w:wordWrap/>
        <w:overflowPunct/>
        <w:topLinePunct w:val="0"/>
        <w:autoSpaceDE/>
        <w:autoSpaceDN/>
        <w:bidi w:val="0"/>
        <w:adjustRightInd/>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bidi="ar"/>
        </w:rPr>
      </w:pPr>
      <w:r>
        <w:rPr>
          <w:rFonts w:hint="eastAsia" w:ascii="仿宋_GB2312" w:hAnsi="仿宋_GB2312" w:eastAsia="仿宋_GB2312" w:cs="仿宋_GB2312"/>
          <w:b/>
          <w:bCs/>
          <w:sz w:val="32"/>
          <w:szCs w:val="32"/>
          <w:highlight w:val="none"/>
          <w:lang w:val="en-US" w:eastAsia="zh-CN"/>
        </w:rPr>
        <w:t xml:space="preserve">② </w:t>
      </w:r>
      <w:r>
        <w:rPr>
          <w:rFonts w:hint="eastAsia" w:ascii="仿宋_GB2312" w:hAnsi="仿宋_GB2312" w:eastAsia="仿宋_GB2312" w:cs="仿宋_GB2312"/>
          <w:b/>
          <w:bCs/>
          <w:sz w:val="32"/>
          <w:szCs w:val="32"/>
          <w:highlight w:val="none"/>
          <w:lang w:val="en-US" w:eastAsia="zh-CN" w:bidi="ar"/>
        </w:rPr>
        <w:t>曝气生物滤池（BAF）</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jc w:val="both"/>
        <w:textAlignment w:val="auto"/>
        <w:rPr>
          <w:rFonts w:hint="eastAsia" w:ascii="仿宋_GB2312" w:hAnsi="仿宋_GB2312" w:eastAsia="仿宋_GB2312" w:cs="仿宋_GB2312"/>
          <w:sz w:val="32"/>
          <w:szCs w:val="32"/>
          <w:highlight w:val="none"/>
          <w:lang w:val="en-US" w:eastAsia="zh-CN" w:bidi="ar"/>
        </w:rPr>
      </w:pPr>
      <w:r>
        <w:rPr>
          <w:rFonts w:hint="eastAsia" w:ascii="仿宋_GB2312" w:hAnsi="仿宋_GB2312" w:eastAsia="仿宋_GB2312" w:cs="仿宋_GB2312"/>
          <w:b/>
          <w:bCs/>
          <w:sz w:val="32"/>
          <w:szCs w:val="32"/>
          <w:highlight w:val="none"/>
          <w:lang w:bidi="ar"/>
        </w:rPr>
        <w:t>工艺流程：</w:t>
      </w:r>
      <w:r>
        <w:rPr>
          <w:rFonts w:hint="eastAsia" w:ascii="仿宋_GB2312" w:hAnsi="仿宋_GB2312" w:eastAsia="仿宋_GB2312" w:cs="仿宋_GB2312"/>
          <w:sz w:val="32"/>
          <w:szCs w:val="32"/>
          <w:highlight w:val="none"/>
          <w:lang w:val="en-US" w:eastAsia="zh-CN" w:bidi="ar"/>
        </w:rPr>
        <w:t>曝气生物滤池是以滤池中填装的粒状填料（如陶粒、焦炭、石英砂、活性炭等）为载体，在滤池内部进行曝气，使滤料表面生长着大量生物膜，当污水流经时，利用滤料上所附生物膜中高浓度的活性微生物强氧化分解作用以及滤料粒径较小的特点，充分发挥微生物的生物代谢、生物絮凝、生物膜和填料的物理吸附和截留以及反应器内沿水流方向食物链的分级捕食作用，实现污染物的高效清除，同时利用反应器内好氧、缺氧区域的存在，实现脱氮除磷的功能。</w:t>
      </w:r>
    </w:p>
    <w:p>
      <w:pPr>
        <w:pStyle w:val="2"/>
        <w:ind w:left="0" w:leftChars="0" w:firstLine="0" w:firstLineChars="0"/>
        <w:jc w:val="center"/>
        <w:rPr>
          <w:rFonts w:hint="default"/>
          <w:lang w:val="en-US" w:eastAsia="zh-CN"/>
        </w:rPr>
      </w:pPr>
      <w:r>
        <w:drawing>
          <wp:inline distT="0" distB="0" distL="114300" distR="114300">
            <wp:extent cx="5268595" cy="2334260"/>
            <wp:effectExtent l="0" t="0" r="8255" b="8890"/>
            <wp:docPr id="4"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true"/>
                    </pic:cNvPicPr>
                  </pic:nvPicPr>
                  <pic:blipFill>
                    <a:blip r:embed="rId31"/>
                    <a:stretch>
                      <a:fillRect/>
                    </a:stretch>
                  </pic:blipFill>
                  <pic:spPr>
                    <a:xfrm>
                      <a:off x="0" y="0"/>
                      <a:ext cx="5268595" cy="2334260"/>
                    </a:xfrm>
                    <a:prstGeom prst="rect">
                      <a:avLst/>
                    </a:prstGeom>
                    <a:noFill/>
                    <a:ln>
                      <a:noFill/>
                    </a:ln>
                  </pic:spPr>
                </pic:pic>
              </a:graphicData>
            </a:graphic>
          </wp:inline>
        </w:drawing>
      </w:r>
    </w:p>
    <w:p>
      <w:pPr>
        <w:pageBreakBefore w:val="0"/>
        <w:kinsoku/>
        <w:wordWrap/>
        <w:overflowPunct/>
        <w:topLinePunct w:val="0"/>
        <w:autoSpaceDE/>
        <w:autoSpaceDN/>
        <w:bidi w:val="0"/>
        <w:adjustRightInd/>
        <w:snapToGrid/>
        <w:spacing w:line="520" w:lineRule="exact"/>
        <w:ind w:leftChars="0" w:firstLine="643" w:firstLineChars="200"/>
        <w:jc w:val="both"/>
        <w:textAlignment w:val="auto"/>
        <w:rPr>
          <w:rFonts w:hint="eastAsia" w:ascii="仿宋_GB2312" w:hAnsi="仿宋_GB2312" w:eastAsia="仿宋_GB2312" w:cs="仿宋_GB2312"/>
          <w:sz w:val="32"/>
          <w:szCs w:val="32"/>
          <w:highlight w:val="none"/>
          <w:lang w:val="en-US" w:eastAsia="zh-CN" w:bidi="ar"/>
        </w:rPr>
      </w:pPr>
      <w:r>
        <w:rPr>
          <w:rFonts w:hint="eastAsia" w:ascii="仿宋_GB2312" w:hAnsi="仿宋_GB2312" w:eastAsia="仿宋_GB2312" w:cs="仿宋_GB2312"/>
          <w:b/>
          <w:bCs/>
          <w:sz w:val="32"/>
          <w:szCs w:val="32"/>
          <w:highlight w:val="none"/>
          <w:lang w:bidi="ar"/>
        </w:rPr>
        <w:t>优缺点：</w:t>
      </w:r>
      <w:r>
        <w:rPr>
          <w:rFonts w:hint="eastAsia" w:ascii="仿宋_GB2312" w:hAnsi="仿宋_GB2312" w:eastAsia="仿宋_GB2312" w:cs="仿宋_GB2312"/>
          <w:sz w:val="32"/>
          <w:szCs w:val="32"/>
          <w:highlight w:val="none"/>
          <w:lang w:val="en-US" w:eastAsia="zh-CN" w:bidi="ar"/>
        </w:rPr>
        <w:t>曝气生物滤池作为集生物氧化和截留悬浮固体于一体，节省了后续</w:t>
      </w:r>
      <w:r>
        <w:rPr>
          <w:rFonts w:hint="eastAsia" w:ascii="仿宋_GB2312" w:hAnsi="仿宋_GB2312" w:eastAsia="仿宋_GB2312" w:cs="仿宋_GB2312"/>
          <w:sz w:val="32"/>
          <w:szCs w:val="32"/>
          <w:highlight w:val="none"/>
          <w:lang w:val="en-US" w:eastAsia="zh-CN" w:bidi="ar"/>
        </w:rPr>
        <w:fldChar w:fldCharType="begin"/>
      </w:r>
      <w:r>
        <w:rPr>
          <w:rFonts w:hint="eastAsia" w:ascii="仿宋_GB2312" w:hAnsi="仿宋_GB2312" w:eastAsia="仿宋_GB2312" w:cs="仿宋_GB2312"/>
          <w:sz w:val="32"/>
          <w:szCs w:val="32"/>
          <w:highlight w:val="none"/>
          <w:lang w:val="en-US" w:eastAsia="zh-CN" w:bidi="ar"/>
        </w:rPr>
        <w:instrText xml:space="preserve"> HYPERLINK "https://baike.baidu.com/item/%E6%B2%89%E6%B7%80%E6%B1%A0" \t "https://baike.baidu.com/item/%E6%9B%9D%E6%B0%94%E7%94%9F%E7%89%A9%E6%BB%A4%E6%B1%A0/_blank" </w:instrText>
      </w:r>
      <w:r>
        <w:rPr>
          <w:rFonts w:hint="eastAsia" w:ascii="仿宋_GB2312" w:hAnsi="仿宋_GB2312" w:eastAsia="仿宋_GB2312" w:cs="仿宋_GB2312"/>
          <w:sz w:val="32"/>
          <w:szCs w:val="32"/>
          <w:highlight w:val="none"/>
          <w:lang w:val="en-US" w:eastAsia="zh-CN" w:bidi="ar"/>
        </w:rPr>
        <w:fldChar w:fldCharType="separate"/>
      </w:r>
      <w:r>
        <w:rPr>
          <w:rFonts w:hint="eastAsia" w:ascii="仿宋_GB2312" w:hAnsi="仿宋_GB2312" w:eastAsia="仿宋_GB2312" w:cs="仿宋_GB2312"/>
          <w:sz w:val="32"/>
          <w:szCs w:val="32"/>
          <w:highlight w:val="none"/>
          <w:lang w:bidi="ar"/>
        </w:rPr>
        <w:t>沉淀池</w:t>
      </w:r>
      <w:r>
        <w:rPr>
          <w:rFonts w:hint="eastAsia" w:ascii="仿宋_GB2312" w:hAnsi="仿宋_GB2312" w:eastAsia="仿宋_GB2312" w:cs="仿宋_GB2312"/>
          <w:sz w:val="32"/>
          <w:szCs w:val="32"/>
          <w:highlight w:val="none"/>
          <w:lang w:eastAsia="zh-CN" w:bidi="ar"/>
        </w:rPr>
        <w:t>（</w:t>
      </w:r>
      <w:r>
        <w:rPr>
          <w:rFonts w:hint="eastAsia" w:ascii="仿宋_GB2312" w:hAnsi="仿宋_GB2312" w:eastAsia="仿宋_GB2312" w:cs="仿宋_GB2312"/>
          <w:sz w:val="32"/>
          <w:szCs w:val="32"/>
          <w:highlight w:val="none"/>
          <w:lang w:val="en-US" w:eastAsia="zh-CN" w:bidi="ar"/>
        </w:rPr>
        <w:fldChar w:fldCharType="end"/>
      </w:r>
      <w:r>
        <w:rPr>
          <w:rFonts w:hint="eastAsia" w:ascii="仿宋_GB2312" w:hAnsi="仿宋_GB2312" w:eastAsia="仿宋_GB2312" w:cs="仿宋_GB2312"/>
          <w:sz w:val="32"/>
          <w:szCs w:val="32"/>
          <w:highlight w:val="none"/>
          <w:lang w:val="en-US" w:eastAsia="zh-CN" w:bidi="ar"/>
        </w:rPr>
        <w:t>二沉池），具有容积负荷、水力负荷大，水力停留时间短，所需基建投资少，出水水质好：运行能耗低，运行费用少的特点。</w:t>
      </w:r>
    </w:p>
    <w:p>
      <w:pPr>
        <w:pageBreakBefore w:val="0"/>
        <w:kinsoku/>
        <w:wordWrap/>
        <w:overflowPunct/>
        <w:topLinePunct w:val="0"/>
        <w:autoSpaceDE/>
        <w:autoSpaceDN/>
        <w:bidi w:val="0"/>
        <w:adjustRightInd/>
        <w:snapToGrid/>
        <w:spacing w:line="520" w:lineRule="exact"/>
        <w:ind w:leftChars="0" w:firstLine="643"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highlight w:val="none"/>
          <w:lang w:bidi="ar"/>
        </w:rPr>
        <w:t>适用条件：</w:t>
      </w:r>
      <w:r>
        <w:rPr>
          <w:rFonts w:hint="eastAsia" w:ascii="仿宋_GB2312" w:hAnsi="仿宋_GB2312" w:eastAsia="仿宋_GB2312" w:cs="仿宋_GB2312"/>
          <w:sz w:val="32"/>
          <w:szCs w:val="32"/>
          <w:highlight w:val="none"/>
          <w:lang w:bidi="ar"/>
        </w:rPr>
        <w:t>出水水质</w:t>
      </w:r>
      <w:r>
        <w:rPr>
          <w:rFonts w:hint="eastAsia" w:ascii="仿宋_GB2312" w:hAnsi="仿宋_GB2312" w:eastAsia="仿宋_GB2312" w:cs="仿宋_GB2312"/>
          <w:sz w:val="32"/>
          <w:szCs w:val="32"/>
          <w:highlight w:val="none"/>
          <w:lang w:val="en-US" w:eastAsia="zh-CN" w:bidi="ar"/>
        </w:rPr>
        <w:t>要求较高</w:t>
      </w:r>
      <w:r>
        <w:rPr>
          <w:rFonts w:hint="eastAsia" w:ascii="仿宋_GB2312" w:hAnsi="仿宋_GB2312" w:eastAsia="仿宋_GB2312" w:cs="仿宋_GB2312"/>
          <w:sz w:val="32"/>
          <w:szCs w:val="32"/>
          <w:highlight w:val="none"/>
          <w:lang w:bidi="ar"/>
        </w:rPr>
        <w:t>，</w:t>
      </w:r>
      <w:r>
        <w:rPr>
          <w:rFonts w:hint="eastAsia" w:ascii="仿宋_GB2312" w:hAnsi="仿宋_GB2312" w:eastAsia="仿宋_GB2312" w:cs="仿宋_GB2312"/>
          <w:sz w:val="32"/>
          <w:szCs w:val="32"/>
          <w:highlight w:val="none"/>
          <w:lang w:val="en-US" w:eastAsia="zh-CN" w:bidi="ar"/>
        </w:rPr>
        <w:t>用地紧张的自然村可优先选用该工艺。</w:t>
      </w:r>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54" w:name="_Toc11203"/>
      <w:bookmarkStart w:id="155" w:name="_Toc23458"/>
      <w:bookmarkStart w:id="156" w:name="_Toc30517"/>
      <w:bookmarkStart w:id="157" w:name="_Toc26008"/>
      <w:r>
        <w:rPr>
          <w:rFonts w:hint="eastAsia" w:ascii="仿宋_GB2312" w:hAnsi="仿宋_GB2312" w:eastAsia="仿宋_GB2312" w:cs="仿宋_GB2312"/>
          <w:b/>
          <w:bCs/>
          <w:sz w:val="32"/>
          <w:szCs w:val="32"/>
          <w:highlight w:val="none"/>
          <w:lang w:val="en-US" w:eastAsia="zh-CN"/>
        </w:rPr>
        <w:t>（3）设施建设形式</w:t>
      </w:r>
      <w:bookmarkEnd w:id="154"/>
      <w:bookmarkEnd w:id="155"/>
      <w:bookmarkEnd w:id="156"/>
      <w:bookmarkEnd w:id="157"/>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目前我省农村生活污水处理设施的建设形式主要包括传统土建模式和一体化设备两种。一体化污水处理设备是污水处理工艺的集成形式，通常采用活性污泥法、曝气生物滤池、生物接触氧化法、膜生物反应器（MBR）、移动床生物膜反应器（MBBR）等一种或多种组合工艺，污水进入一体化设备前应通过格栅、调节池等预处理。设备的安装可采用地上式或地埋式，根据地区实际情况进行选择。</w:t>
      </w:r>
    </w:p>
    <w:p>
      <w:pPr>
        <w:pStyle w:val="2"/>
        <w:pageBreakBefore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bidi="ar"/>
        </w:rPr>
      </w:pPr>
      <w:r>
        <w:rPr>
          <w:rFonts w:hint="eastAsia" w:ascii="仿宋_GB2312" w:hAnsi="仿宋_GB2312" w:eastAsia="仿宋_GB2312" w:cs="仿宋_GB2312"/>
          <w:sz w:val="32"/>
          <w:szCs w:val="32"/>
          <w:highlight w:val="none"/>
          <w:lang w:bidi="ar"/>
        </w:rPr>
        <w:t>与采用传统土建形式的污水处理设施相比，一体化污水处理设备具有结构紧凑、占地面积小、运行效果稳定等优点，但</w:t>
      </w:r>
      <w:r>
        <w:rPr>
          <w:rFonts w:hint="eastAsia" w:ascii="仿宋_GB2312" w:hAnsi="仿宋_GB2312" w:eastAsia="仿宋_GB2312" w:cs="仿宋_GB2312"/>
          <w:sz w:val="32"/>
          <w:szCs w:val="32"/>
          <w:highlight w:val="none"/>
          <w:lang w:val="en-US" w:eastAsia="zh-CN" w:bidi="ar"/>
        </w:rPr>
        <w:t>建设、</w:t>
      </w:r>
      <w:r>
        <w:rPr>
          <w:rFonts w:hint="eastAsia" w:ascii="仿宋_GB2312" w:hAnsi="仿宋_GB2312" w:eastAsia="仿宋_GB2312" w:cs="仿宋_GB2312"/>
          <w:sz w:val="32"/>
          <w:szCs w:val="32"/>
          <w:highlight w:val="none"/>
          <w:lang w:bidi="ar"/>
        </w:rPr>
        <w:t>运维管理费用及专业化要求相对较高。适用于集聚程度较高、土地资源紧张、出水水质要求较高、有条件支持专业化运维的村庄。</w:t>
      </w:r>
      <w:r>
        <w:rPr>
          <w:rFonts w:hint="eastAsia" w:ascii="仿宋_GB2312" w:hAnsi="仿宋_GB2312" w:eastAsia="仿宋_GB2312" w:cs="仿宋_GB2312"/>
          <w:sz w:val="32"/>
          <w:szCs w:val="32"/>
          <w:highlight w:val="none"/>
          <w:lang w:val="en-US" w:eastAsia="zh-CN" w:bidi="ar"/>
        </w:rPr>
        <w:t>结合汕尾市城区实际情况，拟采用建设设施模式的自然村主要选用一体化设备处理农村生活污水。</w:t>
      </w:r>
    </w:p>
    <w:p>
      <w:pPr>
        <w:pStyle w:val="6"/>
        <w:pageBreakBefore w:val="0"/>
        <w:kinsoku/>
        <w:wordWrap/>
        <w:overflowPunct/>
        <w:topLinePunct w:val="0"/>
        <w:autoSpaceDE/>
        <w:autoSpaceDN/>
        <w:bidi w:val="0"/>
        <w:adjustRightInd/>
        <w:snapToGrid/>
        <w:spacing w:before="0" w:after="0" w:line="520" w:lineRule="exact"/>
        <w:ind w:leftChars="0" w:firstLine="643" w:firstLineChars="200"/>
        <w:textAlignment w:val="auto"/>
        <w:rPr>
          <w:rFonts w:hint="eastAsia" w:ascii="仿宋_GB2312" w:hAnsi="仿宋_GB2312" w:eastAsia="仿宋_GB2312" w:cs="仿宋_GB2312"/>
          <w:b/>
          <w:bCs/>
          <w:sz w:val="32"/>
          <w:szCs w:val="32"/>
          <w:highlight w:val="none"/>
          <w:lang w:val="en-US" w:eastAsia="zh-CN"/>
        </w:rPr>
      </w:pPr>
      <w:bookmarkStart w:id="158" w:name="_Toc31894"/>
      <w:bookmarkStart w:id="159" w:name="_Toc16673"/>
      <w:bookmarkStart w:id="160" w:name="_Toc24788"/>
      <w:bookmarkStart w:id="161" w:name="_Toc24190"/>
      <w:bookmarkStart w:id="162" w:name="_Toc4040"/>
      <w:r>
        <w:rPr>
          <w:rFonts w:hint="eastAsia" w:ascii="仿宋_GB2312" w:hAnsi="仿宋_GB2312" w:eastAsia="仿宋_GB2312" w:cs="仿宋_GB2312"/>
          <w:sz w:val="32"/>
          <w:szCs w:val="32"/>
          <w:lang w:val="en-US" w:eastAsia="zh-CN"/>
        </w:rPr>
        <w:t>5.治理流程</w:t>
      </w:r>
      <w:bookmarkEnd w:id="158"/>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leftChars="0"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（1）设施布局选址与前期工作</w:t>
      </w:r>
      <w:bookmarkEnd w:id="159"/>
      <w:bookmarkEnd w:id="160"/>
      <w:bookmarkEnd w:id="161"/>
      <w:bookmarkEnd w:id="162"/>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农村生活污水处理设施选址应符合以下几点原则。</w:t>
      </w:r>
    </w:p>
    <w:p>
      <w:pPr>
        <w:pageBreakBefore w:val="0"/>
        <w:kinsoku/>
        <w:wordWrap/>
        <w:overflowPunct/>
        <w:topLinePunct w:val="0"/>
        <w:autoSpaceDE/>
        <w:autoSpaceDN/>
        <w:bidi w:val="0"/>
        <w:adjustRightInd/>
        <w:snapToGrid/>
        <w:spacing w:line="520" w:lineRule="exact"/>
        <w:ind w:leftChars="0" w:firstLine="643"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b/>
          <w:bCs/>
          <w:sz w:val="32"/>
          <w:szCs w:val="32"/>
          <w:highlight w:val="none"/>
          <w:lang w:val="en-US" w:eastAsia="zh-CN"/>
        </w:rPr>
        <w:t>一是</w:t>
      </w:r>
      <w:r>
        <w:rPr>
          <w:rFonts w:hint="eastAsia" w:ascii="仿宋_GB2312" w:hAnsi="仿宋_GB2312" w:eastAsia="仿宋_GB2312" w:cs="仿宋_GB2312"/>
          <w:color w:val="auto"/>
          <w:sz w:val="32"/>
          <w:szCs w:val="32"/>
          <w:highlight w:val="none"/>
        </w:rPr>
        <w:t>按照县域总体规划、城镇污水处理设施建设规划、镇总体规划、村庄规划、乡村旅游规划、中小流域治理规划，水功能区划、水环境功能区划和近岸海域环境功能区划等要求，合理安排污水处理设施的布局，明确农村生活污水治理的村庄范围和规模。</w:t>
      </w:r>
    </w:p>
    <w:p>
      <w:pPr>
        <w:pStyle w:val="9"/>
        <w:pageBreakBefore w:val="0"/>
        <w:kinsoku/>
        <w:wordWrap/>
        <w:overflowPunct/>
        <w:topLinePunct w:val="0"/>
        <w:autoSpaceDE/>
        <w:autoSpaceDN/>
        <w:bidi w:val="0"/>
        <w:adjustRightInd/>
        <w:snapToGrid/>
        <w:spacing w:line="520" w:lineRule="exact"/>
        <w:ind w:leftChars="0" w:firstLine="643" w:firstLineChars="200"/>
        <w:textAlignment w:val="auto"/>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二是</w:t>
      </w:r>
      <w:r>
        <w:rPr>
          <w:rFonts w:hint="eastAsia" w:ascii="仿宋_GB2312" w:hAnsi="仿宋_GB2312" w:eastAsia="仿宋_GB2312" w:cs="仿宋_GB2312"/>
          <w:color w:val="auto"/>
          <w:sz w:val="32"/>
          <w:szCs w:val="32"/>
          <w:highlight w:val="none"/>
        </w:rPr>
        <w:t>新建农村生活污水处理设施选址</w:t>
      </w:r>
      <w:r>
        <w:rPr>
          <w:rFonts w:hint="eastAsia" w:ascii="仿宋_GB2312" w:hAnsi="仿宋_GB2312" w:eastAsia="仿宋_GB2312" w:cs="仿宋_GB2312"/>
          <w:color w:val="auto"/>
          <w:sz w:val="32"/>
          <w:szCs w:val="32"/>
          <w:highlight w:val="none"/>
          <w:lang w:val="en-US" w:eastAsia="zh-CN"/>
        </w:rPr>
        <w:t>要严格遵守《中华人民共和国土地管理法》及相关法律法规的规定，选址应符合地区城乡总体规划和土地利用总体规划。由自然资源部门对拟选用地块进行审查，如选址不符合土地利用总体规划的，不得在基本农田保护区和生态红线范围内选址建设，申请对土地利用总体规划进行局部调整或修改，并</w:t>
      </w:r>
      <w:r>
        <w:rPr>
          <w:rFonts w:hint="eastAsia" w:ascii="仿宋_GB2312" w:hAnsi="仿宋_GB2312" w:eastAsia="仿宋_GB2312" w:cs="仿宋_GB2312"/>
          <w:i w:val="0"/>
          <w:iCs w:val="0"/>
          <w:caps w:val="0"/>
          <w:color w:val="auto"/>
          <w:spacing w:val="0"/>
          <w:sz w:val="32"/>
          <w:szCs w:val="32"/>
          <w:highlight w:val="none"/>
          <w:shd w:val="clear" w:fill="auto"/>
        </w:rPr>
        <w:t>按有关法定规定程序办理建设用地审批手续</w:t>
      </w:r>
      <w:r>
        <w:rPr>
          <w:rFonts w:hint="eastAsia" w:ascii="仿宋_GB2312" w:hAnsi="仿宋_GB2312" w:eastAsia="仿宋_GB2312" w:cs="仿宋_GB2312"/>
          <w:i w:val="0"/>
          <w:iCs w:val="0"/>
          <w:caps w:val="0"/>
          <w:color w:val="auto"/>
          <w:spacing w:val="0"/>
          <w:sz w:val="32"/>
          <w:szCs w:val="32"/>
          <w:highlight w:val="none"/>
          <w:shd w:val="clear"/>
          <w:lang w:eastAsia="zh-CN"/>
        </w:rPr>
        <w:t>，</w:t>
      </w:r>
      <w:r>
        <w:rPr>
          <w:rFonts w:hint="eastAsia" w:ascii="仿宋_GB2312" w:hAnsi="仿宋_GB2312" w:eastAsia="仿宋_GB2312" w:cs="仿宋_GB2312"/>
          <w:i w:val="0"/>
          <w:iCs w:val="0"/>
          <w:caps w:val="0"/>
          <w:color w:val="auto"/>
          <w:spacing w:val="0"/>
          <w:sz w:val="32"/>
          <w:szCs w:val="32"/>
          <w:highlight w:val="none"/>
          <w:shd w:val="clear"/>
          <w:lang w:val="en-US" w:eastAsia="zh-CN"/>
        </w:rPr>
        <w:t>方能开工建设。</w:t>
      </w:r>
    </w:p>
    <w:p>
      <w:pPr>
        <w:pageBreakBefore w:val="0"/>
        <w:kinsoku/>
        <w:wordWrap/>
        <w:overflowPunct/>
        <w:topLinePunct w:val="0"/>
        <w:autoSpaceDE/>
        <w:autoSpaceDN/>
        <w:bidi w:val="0"/>
        <w:adjustRightInd/>
        <w:snapToGrid/>
        <w:spacing w:line="520" w:lineRule="exact"/>
        <w:ind w:leftChars="0" w:firstLine="643"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b/>
          <w:bCs/>
          <w:sz w:val="32"/>
          <w:szCs w:val="32"/>
          <w:highlight w:val="none"/>
          <w:lang w:val="en-US" w:eastAsia="zh-CN"/>
        </w:rPr>
        <w:t>三是</w:t>
      </w:r>
      <w:r>
        <w:rPr>
          <w:rFonts w:hint="eastAsia" w:ascii="仿宋_GB2312" w:hAnsi="仿宋_GB2312" w:eastAsia="仿宋_GB2312" w:cs="仿宋_GB2312"/>
          <w:color w:val="auto"/>
          <w:sz w:val="32"/>
          <w:szCs w:val="32"/>
          <w:highlight w:val="none"/>
        </w:rPr>
        <w:t>新建农村生活污水处理设施选址应远离饮用水水源保护区等环境敏感区，且不宜设置在低洼易涝区。位于地震、膨胀土以及其他特殊地区的污水处理设施，应符合相关标准规定。集中式污水处理设施的管网、处理终端和排放口的选址，应同时满足设施用地、供电、防洪、防灾等方面的要求。</w:t>
      </w:r>
    </w:p>
    <w:p>
      <w:pPr>
        <w:pageBreakBefore w:val="0"/>
        <w:kinsoku/>
        <w:wordWrap/>
        <w:overflowPunct/>
        <w:topLinePunct w:val="0"/>
        <w:autoSpaceDE/>
        <w:autoSpaceDN/>
        <w:bidi w:val="0"/>
        <w:adjustRightInd/>
        <w:snapToGrid/>
        <w:spacing w:line="520" w:lineRule="exact"/>
        <w:ind w:leftChars="0" w:firstLine="643"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b/>
          <w:bCs/>
          <w:color w:val="auto"/>
          <w:sz w:val="32"/>
          <w:szCs w:val="32"/>
          <w:highlight w:val="none"/>
          <w:lang w:eastAsia="zh-CN"/>
        </w:rPr>
        <w:t>四是</w:t>
      </w:r>
      <w:r>
        <w:rPr>
          <w:rFonts w:hint="eastAsia" w:ascii="仿宋_GB2312" w:hAnsi="仿宋_GB2312" w:eastAsia="仿宋_GB2312" w:cs="仿宋_GB2312"/>
          <w:color w:val="auto"/>
          <w:sz w:val="32"/>
          <w:szCs w:val="32"/>
          <w:highlight w:val="none"/>
        </w:rPr>
        <w:t>尽量减少对周边居民生活的影响。农村生活污水治理工程应充分考虑建设和运行中产生的噪声、臭气等问题，注意避免因选址不当造成扰民的负面影响。</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除了技术要求外</w:t>
      </w:r>
      <w:r>
        <w:rPr>
          <w:rFonts w:hint="eastAsia" w:ascii="仿宋_GB2312" w:hAnsi="仿宋_GB2312" w:eastAsia="仿宋_GB2312" w:cs="仿宋_GB2312"/>
          <w:color w:val="auto"/>
          <w:sz w:val="32"/>
          <w:szCs w:val="32"/>
          <w:highlight w:val="none"/>
          <w:lang w:eastAsia="zh-CN"/>
        </w:rPr>
        <w:t>，</w:t>
      </w:r>
      <w:r>
        <w:rPr>
          <w:rFonts w:hint="eastAsia" w:ascii="仿宋_GB2312" w:hAnsi="仿宋_GB2312" w:eastAsia="仿宋_GB2312" w:cs="仿宋_GB2312"/>
          <w:color w:val="auto"/>
          <w:sz w:val="32"/>
          <w:szCs w:val="32"/>
          <w:highlight w:val="none"/>
        </w:rPr>
        <w:t>本方案的设施选址充分考虑当地居民文化习俗、生活习惯等因素，设计人员与村干部共同确定工程拟建地址。</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在开展农村生活污水治理工程建设前，应充分收集和分析治理工程覆盖范围内有关的原始数据资料，包括：工程覆盖范围附近的水功能区划，水文地质资料，地形测绘与地质勘探资料（如无相关资料，应补充完成），户籍人口、常住人口的数量及分布情况，地下管线（原有给排水、电力、电信等管线）情况，以及现有污水治理设施资料等。</w:t>
      </w:r>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63" w:name="_Toc11260"/>
      <w:bookmarkStart w:id="164" w:name="_Toc12512"/>
      <w:bookmarkStart w:id="165" w:name="_Toc10601"/>
      <w:bookmarkStart w:id="166" w:name="_Toc24043"/>
      <w:r>
        <w:rPr>
          <w:rFonts w:hint="eastAsia" w:ascii="仿宋_GB2312" w:hAnsi="仿宋_GB2312" w:eastAsia="仿宋_GB2312" w:cs="仿宋_GB2312"/>
          <w:b/>
          <w:bCs/>
          <w:sz w:val="32"/>
          <w:szCs w:val="32"/>
          <w:highlight w:val="none"/>
          <w:lang w:val="en-US" w:eastAsia="zh-CN"/>
        </w:rPr>
        <w:t>（2）处理流程</w:t>
      </w:r>
      <w:bookmarkEnd w:id="163"/>
      <w:bookmarkEnd w:id="164"/>
      <w:bookmarkEnd w:id="165"/>
      <w:bookmarkEnd w:id="166"/>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根据农村生活污水的产生及处理过程，一般将农村生活污水的处理流程分为以下阶段：</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预处理包含格栅、隔油池（根据实际需要）、沉砂池、调节池等。格栅用于截留较大的悬浮物或漂浮物，如纤维、碎皮、木屑、果皮、蔬菜、塑料制品等。沉砂池用于去除污水中的砂粒，减少管道和设备的磨损，以保护后续处理设备稳定运行。调节池用于均化水质水量，减少污水排放量波动对后续污水处理系统的冲击。</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生物处理是农村生活污水处理设施的核心部分，通过构建微生物集中处理载体，利用微生物的新陈代谢作用，降解污水中的有机物，去除大部分COD、BOD</w:t>
      </w:r>
      <w:r>
        <w:rPr>
          <w:rFonts w:hint="eastAsia" w:ascii="仿宋_GB2312" w:hAnsi="仿宋_GB2312" w:eastAsia="仿宋_GB2312" w:cs="仿宋_GB2312"/>
          <w:sz w:val="32"/>
          <w:szCs w:val="32"/>
          <w:highlight w:val="none"/>
          <w:vertAlign w:val="subscript"/>
          <w:lang w:bidi="ar"/>
        </w:rPr>
        <w:t>5</w:t>
      </w:r>
      <w:r>
        <w:rPr>
          <w:rFonts w:hint="eastAsia" w:ascii="仿宋_GB2312" w:hAnsi="仿宋_GB2312" w:eastAsia="仿宋_GB2312" w:cs="仿宋_GB2312"/>
          <w:sz w:val="32"/>
          <w:szCs w:val="32"/>
          <w:highlight w:val="none"/>
          <w:lang w:bidi="ar"/>
        </w:rPr>
        <w:t>及部分氮、磷。处理方法包括活性污泥法、生物转盘、生物接触氧化法、生物滤池等。</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生态处理可作为生物处理之后的深度处理，进一步削减COD、BOD</w:t>
      </w:r>
      <w:r>
        <w:rPr>
          <w:rFonts w:hint="eastAsia" w:ascii="仿宋_GB2312" w:hAnsi="仿宋_GB2312" w:eastAsia="仿宋_GB2312" w:cs="仿宋_GB2312"/>
          <w:sz w:val="32"/>
          <w:szCs w:val="32"/>
          <w:highlight w:val="none"/>
          <w:vertAlign w:val="subscript"/>
          <w:lang w:bidi="ar"/>
        </w:rPr>
        <w:t>5</w:t>
      </w:r>
      <w:r>
        <w:rPr>
          <w:rFonts w:hint="eastAsia" w:ascii="仿宋_GB2312" w:hAnsi="仿宋_GB2312" w:eastAsia="仿宋_GB2312" w:cs="仿宋_GB2312"/>
          <w:sz w:val="32"/>
          <w:szCs w:val="32"/>
          <w:highlight w:val="none"/>
          <w:lang w:bidi="ar"/>
        </w:rPr>
        <w:t>及氮、磷等营养物质。常用的方法有人工湿地、稳定塘等。</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经农村生活污水处理设施处理达标的尾水尽量不直接排放至水体，可通过污水管网或暗渠流向农田、林地、池塘等自然系统进一步消纳。</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各阶段处理技术不宜单独使用，可根据地方实际情况，包括进水水质、水量和出水标准要求等进行选取和组合。</w:t>
      </w:r>
    </w:p>
    <w:p>
      <w:pPr>
        <w:pageBreakBefore w:val="0"/>
        <w:kinsoku/>
        <w:wordWrap/>
        <w:overflowPunct/>
        <w:topLinePunct w:val="0"/>
        <w:autoSpaceDE/>
        <w:autoSpaceDN/>
        <w:bidi w:val="0"/>
        <w:adjustRightInd/>
        <w:snapToGrid/>
        <w:spacing w:line="520" w:lineRule="exact"/>
        <w:ind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农村生活污水处理流程如图4-</w:t>
      </w:r>
      <w:r>
        <w:rPr>
          <w:rFonts w:hint="eastAsia" w:ascii="仿宋_GB2312" w:hAnsi="仿宋_GB2312" w:eastAsia="仿宋_GB2312" w:cs="仿宋_GB2312"/>
          <w:sz w:val="32"/>
          <w:szCs w:val="32"/>
          <w:highlight w:val="none"/>
          <w:lang w:val="en-US" w:eastAsia="zh-CN" w:bidi="ar"/>
        </w:rPr>
        <w:t>7</w:t>
      </w:r>
      <w:r>
        <w:rPr>
          <w:rFonts w:hint="eastAsia" w:ascii="仿宋_GB2312" w:hAnsi="仿宋_GB2312" w:eastAsia="仿宋_GB2312" w:cs="仿宋_GB2312"/>
          <w:sz w:val="32"/>
          <w:szCs w:val="32"/>
          <w:highlight w:val="none"/>
          <w:lang w:bidi="ar"/>
        </w:rPr>
        <w:t>。</w:t>
      </w:r>
    </w:p>
    <w:p>
      <w:pPr>
        <w:jc w:val="center"/>
        <w:rPr>
          <w:rFonts w:hint="default" w:ascii="Times New Roman" w:hAnsi="Times New Roman" w:eastAsia="宋体" w:cs="Times New Roman"/>
          <w:sz w:val="28"/>
          <w:szCs w:val="28"/>
          <w:highlight w:val="none"/>
          <w:lang w:bidi="ar"/>
        </w:rPr>
      </w:pPr>
      <w:r>
        <w:rPr>
          <w:rFonts w:hint="default" w:ascii="Times New Roman" w:hAnsi="Times New Roman" w:eastAsia="宋体" w:cs="Times New Roman"/>
          <w:sz w:val="28"/>
          <w:szCs w:val="28"/>
          <w:highlight w:val="none"/>
        </w:rPr>
        <w:drawing>
          <wp:inline distT="0" distB="0" distL="0" distR="0">
            <wp:extent cx="4782820" cy="2122170"/>
            <wp:effectExtent l="0" t="0" r="17780" b="11430"/>
            <wp:docPr id="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true"/>
                    </pic:cNvPicPr>
                  </pic:nvPicPr>
                  <pic:blipFill>
                    <a:blip r:embed="rId32"/>
                    <a:stretch>
                      <a:fillRect/>
                    </a:stretch>
                  </pic:blipFill>
                  <pic:spPr>
                    <a:xfrm>
                      <a:off x="0" y="0"/>
                      <a:ext cx="4782820" cy="2122170"/>
                    </a:xfrm>
                    <a:prstGeom prst="rect">
                      <a:avLst/>
                    </a:prstGeom>
                  </pic:spPr>
                </pic:pic>
              </a:graphicData>
            </a:graphic>
          </wp:inline>
        </w:drawing>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注：黑水为粪便污水，灰水为洗浴、洗衣和厨房等污水</w:t>
      </w:r>
    </w:p>
    <w:p>
      <w:pPr>
        <w:pStyle w:val="35"/>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图4-6 农村生活污水处理流程</w:t>
      </w:r>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67" w:name="_Toc15782"/>
      <w:bookmarkStart w:id="168" w:name="_Toc6787"/>
      <w:bookmarkStart w:id="169" w:name="_Toc4214"/>
      <w:bookmarkStart w:id="170" w:name="_Toc13279"/>
      <w:r>
        <w:rPr>
          <w:rFonts w:hint="eastAsia" w:ascii="仿宋_GB2312" w:hAnsi="仿宋_GB2312" w:eastAsia="仿宋_GB2312" w:cs="仿宋_GB2312"/>
          <w:b/>
          <w:bCs/>
          <w:sz w:val="32"/>
          <w:szCs w:val="32"/>
          <w:highlight w:val="none"/>
          <w:lang w:val="en-US" w:eastAsia="zh-CN"/>
        </w:rPr>
        <w:t>（3）流程说明</w:t>
      </w:r>
      <w:bookmarkEnd w:id="167"/>
      <w:bookmarkEnd w:id="168"/>
      <w:bookmarkEnd w:id="169"/>
      <w:bookmarkEnd w:id="170"/>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①预处理单元：包括格栅、沉砂池、调节池等，根据污水水质特征以及处理需要进行选择或组合应用；</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②生物处理单元：可选用水解酸化池、厌氧池、缺氧池、活性污泥法、生物滤池、生物接触氧化池、生物转盘、膜生物反应器、移动床生物反应器等；</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③生态处理单元：可选用人工湿地、稳定塘等；</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bidi="ar"/>
        </w:rPr>
        <w:t>④生物处理单元+生态处理单元：根据实际需要，从②生物处理单元、③生态处理单元中分别选择1个或多个进行组合应用。</w:t>
      </w:r>
    </w:p>
    <w:p>
      <w:pPr>
        <w:pStyle w:val="6"/>
        <w:pageBreakBefore w:val="0"/>
        <w:kinsoku/>
        <w:wordWrap/>
        <w:overflowPunct/>
        <w:topLinePunct w:val="0"/>
        <w:autoSpaceDE/>
        <w:autoSpaceDN/>
        <w:bidi w:val="0"/>
        <w:adjustRightInd/>
        <w:snapToGrid/>
        <w:spacing w:before="0" w:after="0" w:line="520" w:lineRule="exact"/>
        <w:ind w:left="0" w:leftChars="0" w:firstLine="643" w:firstLineChars="200"/>
        <w:textAlignment w:val="auto"/>
        <w:rPr>
          <w:rFonts w:hint="eastAsia" w:ascii="仿宋_GB2312" w:hAnsi="仿宋_GB2312" w:eastAsia="仿宋_GB2312" w:cs="仿宋_GB2312"/>
          <w:sz w:val="32"/>
          <w:szCs w:val="32"/>
          <w:lang w:val="en-US" w:eastAsia="zh-CN"/>
        </w:rPr>
      </w:pPr>
      <w:bookmarkStart w:id="171" w:name="_Toc29098"/>
      <w:bookmarkStart w:id="172" w:name="_Toc14480"/>
      <w:bookmarkStart w:id="173" w:name="_Toc30759"/>
      <w:r>
        <w:rPr>
          <w:rFonts w:hint="eastAsia" w:ascii="仿宋_GB2312" w:hAnsi="仿宋_GB2312" w:eastAsia="仿宋_GB2312" w:cs="仿宋_GB2312"/>
          <w:sz w:val="32"/>
          <w:szCs w:val="32"/>
          <w:lang w:val="en-US" w:eastAsia="zh-CN"/>
        </w:rPr>
        <w:t>6.排放标准</w:t>
      </w:r>
      <w:bookmarkEnd w:id="171"/>
      <w:bookmarkEnd w:id="172"/>
      <w:bookmarkEnd w:id="173"/>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bookmarkStart w:id="174" w:name="_Toc13299"/>
      <w:bookmarkStart w:id="175" w:name="_Toc13711"/>
      <w:bookmarkStart w:id="176" w:name="_Toc29262"/>
      <w:bookmarkStart w:id="177" w:name="_Toc19743"/>
      <w:r>
        <w:rPr>
          <w:rFonts w:hint="eastAsia" w:ascii="仿宋_GB2312" w:hAnsi="仿宋_GB2312" w:eastAsia="仿宋_GB2312" w:cs="仿宋_GB2312"/>
          <w:b/>
          <w:bCs/>
          <w:sz w:val="32"/>
          <w:szCs w:val="32"/>
          <w:highlight w:val="none"/>
          <w:lang w:val="en-US" w:eastAsia="zh-CN"/>
        </w:rPr>
        <w:t>（1）纳入城镇污水处理厂</w:t>
      </w:r>
      <w:bookmarkEnd w:id="174"/>
      <w:bookmarkEnd w:id="175"/>
      <w:bookmarkEnd w:id="176"/>
      <w:bookmarkEnd w:id="177"/>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纳入城镇污水处理厂的出水应执行《城镇污水处理厂污染物排放标准》（GB18918-2002），</w:t>
      </w:r>
      <w:r>
        <w:rPr>
          <w:rFonts w:hint="eastAsia" w:ascii="仿宋_GB2312" w:hAnsi="仿宋_GB2312" w:eastAsia="仿宋_GB2312" w:cs="仿宋_GB2312"/>
          <w:sz w:val="32"/>
          <w:szCs w:val="32"/>
          <w:highlight w:val="none"/>
          <w:lang w:val="en-US" w:eastAsia="zh-CN"/>
        </w:rPr>
        <w:t>村庄至市政管网的污水排放应执行《污水排入城镇下水道水质标准（GB/T 31962-2015）》。</w:t>
      </w:r>
    </w:p>
    <w:p>
      <w:pPr>
        <w:pageBreakBefore w:val="0"/>
        <w:widowControl/>
        <w:numPr>
          <w:ilvl w:val="0"/>
          <w:numId w:val="0"/>
        </w:numPr>
        <w:tabs>
          <w:tab w:val="left" w:pos="547"/>
          <w:tab w:val="left" w:pos="1080"/>
        </w:tabs>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78" w:name="_Toc18954"/>
      <w:bookmarkStart w:id="179" w:name="_Toc126"/>
      <w:bookmarkStart w:id="180" w:name="_Toc22713"/>
      <w:bookmarkStart w:id="181" w:name="_Toc27222"/>
      <w:r>
        <w:rPr>
          <w:rFonts w:hint="eastAsia" w:ascii="仿宋_GB2312" w:hAnsi="仿宋_GB2312" w:eastAsia="仿宋_GB2312" w:cs="仿宋_GB2312"/>
          <w:b/>
          <w:bCs/>
          <w:sz w:val="32"/>
          <w:szCs w:val="32"/>
          <w:highlight w:val="none"/>
          <w:lang w:val="en-US" w:eastAsia="zh-CN"/>
        </w:rPr>
        <w:t>（2）设农村生活污水处理设施</w:t>
      </w:r>
      <w:bookmarkEnd w:id="178"/>
      <w:bookmarkEnd w:id="179"/>
      <w:bookmarkEnd w:id="180"/>
      <w:bookmarkEnd w:id="181"/>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本次规划涉及的新建、改建污水处理设施的排放标准应符合现行广东省《农村生活污水处理排放标准》（DB 44/2208-2019）的相关规定。</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eastAsia="zh-CN"/>
        </w:rPr>
      </w:pPr>
      <w:r>
        <w:rPr>
          <w:rFonts w:hint="eastAsia" w:ascii="仿宋_GB2312" w:hAnsi="仿宋_GB2312" w:eastAsia="仿宋_GB2312" w:cs="仿宋_GB2312"/>
          <w:sz w:val="32"/>
          <w:szCs w:val="32"/>
          <w:highlight w:val="none"/>
          <w:lang w:bidi="ar"/>
        </w:rPr>
        <w:t>①</w:t>
      </w:r>
      <w:r>
        <w:rPr>
          <w:rFonts w:hint="eastAsia" w:ascii="仿宋_GB2312" w:hAnsi="仿宋_GB2312" w:eastAsia="仿宋_GB2312" w:cs="仿宋_GB2312"/>
          <w:sz w:val="32"/>
          <w:szCs w:val="32"/>
          <w:highlight w:val="none"/>
        </w:rPr>
        <w:t>根据生态环境管理的需要，位于水环境功能重要、水环境容量较小或者未达到水环境质量目标的地区的农村生活污水处理设施，执行表4-</w:t>
      </w:r>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中水污染物特别排放限值</w:t>
      </w:r>
      <w:r>
        <w:rPr>
          <w:rFonts w:hint="eastAsia" w:ascii="仿宋_GB2312" w:hAnsi="仿宋_GB2312" w:eastAsia="仿宋_GB2312" w:cs="仿宋_GB2312"/>
          <w:sz w:val="32"/>
          <w:szCs w:val="32"/>
          <w:highlight w:val="none"/>
          <w:lang w:eastAsia="zh-CN"/>
        </w:rPr>
        <w:t>；</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bidi="ar"/>
        </w:rPr>
        <w:t>②</w:t>
      </w:r>
      <w:r>
        <w:rPr>
          <w:rFonts w:hint="eastAsia" w:ascii="仿宋_GB2312" w:hAnsi="仿宋_GB2312" w:eastAsia="仿宋_GB2312" w:cs="仿宋_GB2312"/>
          <w:sz w:val="32"/>
          <w:szCs w:val="32"/>
          <w:highlight w:val="none"/>
        </w:rPr>
        <w:t>农村生活污水处理设施出水排入环境功能明确的水体，执行表4-</w:t>
      </w:r>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中的一级标准</w:t>
      </w:r>
      <w:r>
        <w:rPr>
          <w:rFonts w:hint="eastAsia" w:ascii="仿宋_GB2312" w:hAnsi="仿宋_GB2312" w:eastAsia="仿宋_GB2312" w:cs="仿宋_GB2312"/>
          <w:sz w:val="32"/>
          <w:szCs w:val="32"/>
          <w:highlight w:val="none"/>
          <w:lang w:eastAsia="zh-CN"/>
        </w:rPr>
        <w:t>；</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bidi="ar"/>
        </w:rPr>
        <w:t>③</w:t>
      </w:r>
      <w:r>
        <w:rPr>
          <w:rFonts w:hint="eastAsia" w:ascii="仿宋_GB2312" w:hAnsi="仿宋_GB2312" w:eastAsia="仿宋_GB2312" w:cs="仿宋_GB2312"/>
          <w:sz w:val="32"/>
          <w:szCs w:val="32"/>
          <w:highlight w:val="none"/>
        </w:rPr>
        <w:t>处理规模20m³/d及以上的设施出水排入环境功能未明确的水体，执行表4-</w:t>
      </w:r>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中的二级标准</w:t>
      </w:r>
      <w:r>
        <w:rPr>
          <w:rFonts w:hint="eastAsia" w:ascii="仿宋_GB2312" w:hAnsi="仿宋_GB2312" w:eastAsia="仿宋_GB2312" w:cs="仿宋_GB2312"/>
          <w:sz w:val="32"/>
          <w:szCs w:val="32"/>
          <w:highlight w:val="none"/>
          <w:lang w:eastAsia="zh-CN"/>
        </w:rPr>
        <w:t>；</w:t>
      </w:r>
    </w:p>
    <w:p>
      <w:pPr>
        <w:pageBreakBefore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bidi="ar"/>
        </w:rPr>
        <w:t>④</w:t>
      </w:r>
      <w:r>
        <w:rPr>
          <w:rFonts w:hint="eastAsia" w:ascii="仿宋_GB2312" w:hAnsi="仿宋_GB2312" w:eastAsia="仿宋_GB2312" w:cs="仿宋_GB2312"/>
          <w:sz w:val="32"/>
          <w:szCs w:val="32"/>
          <w:highlight w:val="none"/>
        </w:rPr>
        <w:t>处理规模小于20m³/d的设施出水排入环境功能未明确的水体，执行表4-</w:t>
      </w:r>
      <w:r>
        <w:rPr>
          <w:rFonts w:hint="eastAsia" w:ascii="仿宋_GB2312" w:hAnsi="仿宋_GB2312" w:eastAsia="仿宋_GB2312" w:cs="仿宋_GB2312"/>
          <w:sz w:val="32"/>
          <w:szCs w:val="32"/>
          <w:highlight w:val="none"/>
          <w:lang w:val="en-US" w:eastAsia="zh-CN"/>
        </w:rPr>
        <w:t>7</w:t>
      </w:r>
      <w:r>
        <w:rPr>
          <w:rFonts w:hint="eastAsia" w:ascii="仿宋_GB2312" w:hAnsi="仿宋_GB2312" w:eastAsia="仿宋_GB2312" w:cs="仿宋_GB2312"/>
          <w:sz w:val="32"/>
          <w:szCs w:val="32"/>
          <w:highlight w:val="none"/>
        </w:rPr>
        <w:t>中的三级标准。</w:t>
      </w:r>
    </w:p>
    <w:tbl>
      <w:tblPr>
        <w:tblStyle w:val="20"/>
        <w:tblW w:w="5000" w:type="pct"/>
        <w:tblInd w:w="0" w:type="dxa"/>
        <w:tblLayout w:type="autofit"/>
        <w:tblCellMar>
          <w:top w:w="0" w:type="dxa"/>
          <w:left w:w="108" w:type="dxa"/>
          <w:bottom w:w="0" w:type="dxa"/>
          <w:right w:w="108" w:type="dxa"/>
        </w:tblCellMar>
      </w:tblPr>
      <w:tblGrid>
        <w:gridCol w:w="803"/>
        <w:gridCol w:w="1863"/>
        <w:gridCol w:w="1467"/>
        <w:gridCol w:w="1329"/>
        <w:gridCol w:w="1466"/>
        <w:gridCol w:w="1594"/>
      </w:tblGrid>
      <w:tr>
        <w:tblPrEx>
          <w:tblCellMar>
            <w:top w:w="0" w:type="dxa"/>
            <w:left w:w="108" w:type="dxa"/>
            <w:bottom w:w="0" w:type="dxa"/>
            <w:right w:w="108" w:type="dxa"/>
          </w:tblCellMar>
        </w:tblPrEx>
        <w:trPr>
          <w:trHeight w:val="567" w:hRule="atLeast"/>
        </w:trPr>
        <w:tc>
          <w:tcPr>
            <w:tcW w:w="5000" w:type="pct"/>
            <w:gridSpan w:val="6"/>
            <w:tcBorders>
              <w:top w:val="nil"/>
              <w:left w:val="nil"/>
              <w:bottom w:val="single" w:color="auto" w:sz="4" w:space="0"/>
              <w:right w:val="nil"/>
            </w:tcBorders>
            <w:vAlign w:val="center"/>
          </w:tcPr>
          <w:p>
            <w:pPr>
              <w:spacing w:line="360" w:lineRule="auto"/>
              <w:jc w:val="center"/>
              <w:rPr>
                <w:rFonts w:hint="eastAsia" w:ascii="仿宋_GB2312" w:hAnsi="仿宋_GB2312" w:eastAsia="仿宋_GB2312" w:cs="仿宋_GB2312"/>
                <w:b/>
                <w:bCs/>
                <w:kern w:val="2"/>
                <w:sz w:val="32"/>
                <w:szCs w:val="32"/>
                <w:highlight w:val="none"/>
                <w:lang w:val="en-US" w:eastAsia="zh-CN" w:bidi="ar-SA"/>
              </w:rPr>
            </w:pPr>
            <w:r>
              <w:rPr>
                <w:rFonts w:hint="eastAsia" w:ascii="仿宋_GB2312" w:hAnsi="仿宋_GB2312" w:eastAsia="仿宋_GB2312" w:cs="仿宋_GB2312"/>
                <w:b/>
                <w:bCs/>
                <w:kern w:val="2"/>
                <w:sz w:val="32"/>
                <w:szCs w:val="32"/>
                <w:highlight w:val="none"/>
                <w:lang w:val="en-US" w:eastAsia="zh-CN"/>
              </w:rPr>
              <w:t>表4-7 广东省《农村生活污水处理排放标准》水污染物排放限值</w:t>
            </w:r>
          </w:p>
          <w:p>
            <w:pPr>
              <w:spacing w:line="360" w:lineRule="auto"/>
              <w:jc w:val="right"/>
              <w:rPr>
                <w:rFonts w:hint="eastAsia" w:ascii="仿宋_GB2312" w:hAnsi="仿宋_GB2312" w:eastAsia="仿宋_GB2312" w:cs="仿宋_GB2312"/>
                <w:kern w:val="2"/>
                <w:sz w:val="24"/>
                <w:szCs w:val="24"/>
                <w:highlight w:val="none"/>
                <w:lang w:val="en-US" w:eastAsia="zh-CN" w:bidi="ar-SA"/>
              </w:rPr>
            </w:pPr>
            <w:r>
              <w:rPr>
                <w:rFonts w:hint="eastAsia" w:ascii="仿宋_GB2312" w:hAnsi="仿宋_GB2312" w:eastAsia="仿宋_GB2312" w:cs="仿宋_GB2312"/>
                <w:kern w:val="2"/>
                <w:sz w:val="24"/>
                <w:szCs w:val="24"/>
                <w:highlight w:val="none"/>
                <w:lang w:val="en-US" w:eastAsia="zh-CN" w:bidi="ar-SA"/>
              </w:rPr>
              <w:t>单位：mg/L（pH值除外）</w:t>
            </w:r>
          </w:p>
        </w:tc>
      </w:tr>
      <w:tr>
        <w:tblPrEx>
          <w:tblCellMar>
            <w:top w:w="0" w:type="dxa"/>
            <w:left w:w="108" w:type="dxa"/>
            <w:bottom w:w="0" w:type="dxa"/>
            <w:right w:w="108" w:type="dxa"/>
          </w:tblCellMar>
        </w:tblPrEx>
        <w:trPr>
          <w:trHeight w:val="354" w:hRule="atLeast"/>
        </w:trPr>
        <w:tc>
          <w:tcPr>
            <w:tcW w:w="471" w:type="pct"/>
            <w:vMerge w:val="restar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序号</w:t>
            </w:r>
          </w:p>
        </w:tc>
        <w:tc>
          <w:tcPr>
            <w:tcW w:w="1093" w:type="pct"/>
            <w:vMerge w:val="restar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控制项目名称</w:t>
            </w:r>
          </w:p>
        </w:tc>
        <w:tc>
          <w:tcPr>
            <w:tcW w:w="2501" w:type="pct"/>
            <w:gridSpan w:val="3"/>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限值</w:t>
            </w:r>
          </w:p>
        </w:tc>
        <w:tc>
          <w:tcPr>
            <w:tcW w:w="935" w:type="pct"/>
            <w:vMerge w:val="restar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特别排放限值</w:t>
            </w:r>
          </w:p>
        </w:tc>
      </w:tr>
      <w:tr>
        <w:tblPrEx>
          <w:tblCellMar>
            <w:top w:w="0" w:type="dxa"/>
            <w:left w:w="108" w:type="dxa"/>
            <w:bottom w:w="0" w:type="dxa"/>
            <w:right w:w="108" w:type="dxa"/>
          </w:tblCellMar>
        </w:tblPrEx>
        <w:trPr>
          <w:trHeight w:val="377" w:hRule="atLeast"/>
        </w:trPr>
        <w:tc>
          <w:tcPr>
            <w:tcW w:w="471" w:type="pct"/>
            <w:vMerge w:val="continue"/>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p>
        </w:tc>
        <w:tc>
          <w:tcPr>
            <w:tcW w:w="1093" w:type="pct"/>
            <w:vMerge w:val="continue"/>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一级标准</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二级标准</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r>
              <w:rPr>
                <w:rFonts w:hint="eastAsia" w:ascii="仿宋_GB2312" w:hAnsi="仿宋_GB2312" w:eastAsia="仿宋_GB2312" w:cs="仿宋_GB2312"/>
                <w:b/>
                <w:bCs/>
                <w:sz w:val="22"/>
                <w:szCs w:val="22"/>
                <w:highlight w:val="none"/>
              </w:rPr>
              <w:t>三级标准</w:t>
            </w:r>
          </w:p>
        </w:tc>
        <w:tc>
          <w:tcPr>
            <w:tcW w:w="935" w:type="pct"/>
            <w:vMerge w:val="continue"/>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b/>
                <w:bCs/>
                <w:sz w:val="22"/>
                <w:szCs w:val="22"/>
                <w:highlight w:val="none"/>
              </w:rPr>
            </w:pP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pH值（无量纲）</w:t>
            </w:r>
          </w:p>
        </w:tc>
        <w:tc>
          <w:tcPr>
            <w:tcW w:w="2501" w:type="pct"/>
            <w:gridSpan w:val="3"/>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6～9</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6～9</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悬浮物</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20</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30</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50</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20</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3</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化学需氧量</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60</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70</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100</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40</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4</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氨氮①</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8（15）</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15</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25</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5（8）</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5</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动植物油②</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3</w:t>
            </w:r>
          </w:p>
        </w:tc>
        <w:tc>
          <w:tcPr>
            <w:tcW w:w="1640" w:type="pct"/>
            <w:gridSpan w:val="2"/>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5</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6</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总磷③</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1</w:t>
            </w:r>
          </w:p>
        </w:tc>
      </w:tr>
      <w:tr>
        <w:tblPrEx>
          <w:tblCellMar>
            <w:top w:w="0" w:type="dxa"/>
            <w:left w:w="108" w:type="dxa"/>
            <w:bottom w:w="0" w:type="dxa"/>
            <w:right w:w="108" w:type="dxa"/>
          </w:tblCellMar>
        </w:tblPrEx>
        <w:trPr>
          <w:trHeight w:val="454" w:hRule="atLeast"/>
        </w:trPr>
        <w:tc>
          <w:tcPr>
            <w:tcW w:w="47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7</w:t>
            </w:r>
          </w:p>
        </w:tc>
        <w:tc>
          <w:tcPr>
            <w:tcW w:w="1093"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总氮④</w:t>
            </w:r>
          </w:p>
        </w:tc>
        <w:tc>
          <w:tcPr>
            <w:tcW w:w="861"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20</w:t>
            </w:r>
          </w:p>
        </w:tc>
        <w:tc>
          <w:tcPr>
            <w:tcW w:w="78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w:t>
            </w:r>
          </w:p>
        </w:tc>
        <w:tc>
          <w:tcPr>
            <w:tcW w:w="860"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w:t>
            </w:r>
          </w:p>
        </w:tc>
        <w:tc>
          <w:tcPr>
            <w:tcW w:w="935" w:type="pct"/>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center"/>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20</w:t>
            </w:r>
          </w:p>
        </w:tc>
      </w:tr>
      <w:tr>
        <w:tblPrEx>
          <w:tblCellMar>
            <w:top w:w="0" w:type="dxa"/>
            <w:left w:w="108" w:type="dxa"/>
            <w:bottom w:w="0" w:type="dxa"/>
            <w:right w:w="108" w:type="dxa"/>
          </w:tblCellMar>
        </w:tblPrEx>
        <w:trPr>
          <w:trHeight w:val="567" w:hRule="atLeast"/>
        </w:trPr>
        <w:tc>
          <w:tcPr>
            <w:tcW w:w="5000" w:type="pct"/>
            <w:gridSpan w:val="6"/>
            <w:tcBorders>
              <w:top w:val="single" w:color="auto" w:sz="4" w:space="0"/>
              <w:left w:val="single" w:color="auto" w:sz="4" w:space="0"/>
              <w:bottom w:val="single" w:color="auto" w:sz="4" w:space="0"/>
              <w:right w:val="single" w:color="auto" w:sz="4" w:space="0"/>
            </w:tcBorders>
            <w:vAlign w:val="center"/>
          </w:tcPr>
          <w:p>
            <w:pPr>
              <w:numPr>
                <w:ilvl w:val="255"/>
                <w:numId w:val="0"/>
              </w:numPr>
              <w:spacing w:line="360" w:lineRule="auto"/>
              <w:jc w:val="left"/>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注：①氨氮指标括号内的数值为水温≤12℃的控制指标；</w:t>
            </w:r>
          </w:p>
          <w:p>
            <w:pPr>
              <w:numPr>
                <w:ilvl w:val="255"/>
                <w:numId w:val="0"/>
              </w:numPr>
              <w:spacing w:line="360" w:lineRule="auto"/>
              <w:ind w:firstLine="440" w:firstLineChars="200"/>
              <w:jc w:val="left"/>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②动植物油指标仅针对含提供餐饮服务的农村旅游项目的生活污水处理设施执行；</w:t>
            </w:r>
          </w:p>
          <w:p>
            <w:pPr>
              <w:numPr>
                <w:ilvl w:val="255"/>
                <w:numId w:val="0"/>
              </w:numPr>
              <w:spacing w:line="360" w:lineRule="auto"/>
              <w:ind w:firstLine="440" w:firstLineChars="200"/>
              <w:jc w:val="left"/>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③总磷指标仅针对出水排入封闭水体或总磷超标的水体的生活污水处理设施执行；</w:t>
            </w:r>
          </w:p>
          <w:p>
            <w:pPr>
              <w:numPr>
                <w:ilvl w:val="255"/>
                <w:numId w:val="0"/>
              </w:numPr>
              <w:spacing w:line="360" w:lineRule="auto"/>
              <w:ind w:firstLine="440" w:firstLineChars="200"/>
              <w:jc w:val="left"/>
              <w:rPr>
                <w:rFonts w:hint="eastAsia" w:ascii="仿宋_GB2312" w:hAnsi="仿宋_GB2312" w:eastAsia="仿宋_GB2312" w:cs="仿宋_GB2312"/>
                <w:sz w:val="22"/>
                <w:szCs w:val="22"/>
                <w:highlight w:val="none"/>
              </w:rPr>
            </w:pPr>
            <w:r>
              <w:rPr>
                <w:rFonts w:hint="eastAsia" w:ascii="仿宋_GB2312" w:hAnsi="仿宋_GB2312" w:eastAsia="仿宋_GB2312" w:cs="仿宋_GB2312"/>
                <w:sz w:val="22"/>
                <w:szCs w:val="22"/>
                <w:highlight w:val="none"/>
              </w:rPr>
              <w:t>④总氮指标仅针对出水排入封闭水体或总氮超标的水体的生活污水处理设施执行。</w:t>
            </w:r>
          </w:p>
        </w:tc>
      </w:tr>
    </w:tbl>
    <w:p>
      <w:pPr>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82" w:name="_Toc10707"/>
      <w:bookmarkStart w:id="183" w:name="_Toc11549"/>
      <w:bookmarkStart w:id="184" w:name="_Toc18542"/>
      <w:bookmarkStart w:id="185" w:name="_Toc5214"/>
      <w:r>
        <w:rPr>
          <w:rFonts w:hint="eastAsia" w:ascii="仿宋_GB2312" w:hAnsi="仿宋_GB2312" w:eastAsia="仿宋_GB2312" w:cs="仿宋_GB2312"/>
          <w:b/>
          <w:bCs/>
          <w:sz w:val="32"/>
          <w:szCs w:val="32"/>
          <w:highlight w:val="none"/>
          <w:lang w:val="en-US" w:eastAsia="zh-CN"/>
        </w:rPr>
        <w:t>（3）资源化利用监督管理</w:t>
      </w:r>
      <w:bookmarkEnd w:id="182"/>
      <w:bookmarkEnd w:id="183"/>
      <w:bookmarkEnd w:id="184"/>
      <w:bookmarkEnd w:id="185"/>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采用污水资源化利用（或自然生态消纳）的村庄或居住片区，需</w:t>
      </w:r>
      <w:r>
        <w:rPr>
          <w:rFonts w:hint="eastAsia" w:ascii="仿宋_GB2312" w:hAnsi="仿宋_GB2312" w:eastAsia="仿宋_GB2312" w:cs="仿宋_GB2312"/>
          <w:sz w:val="32"/>
          <w:szCs w:val="32"/>
          <w:highlight w:val="none"/>
          <w:lang w:val="en-US" w:eastAsia="zh-CN"/>
        </w:rPr>
        <w:t>实际情况建立健全资源化利用监督、管护机制，明确监督要求和管护内容，并定期开展管护及治理成效评估。</w:t>
      </w:r>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治理成效评估宜以资源化利用对村庄环境质量的影响为重点，采用现场核查与按需开展环境质量监测相结合的方式进行综合评估。</w:t>
      </w:r>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以自然村为基本单元建立资源化利用治理台账，台账内容包括村庄概况、污水输送路径、污水暂存或预处理设施配置情况、受纳体基本信息、管护人员安排及巡查管护记录等内容。</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186" w:name="_Toc25925"/>
      <w:bookmarkStart w:id="187" w:name="_Toc31317"/>
      <w:bookmarkStart w:id="188" w:name="_Toc27365"/>
      <w:r>
        <w:rPr>
          <w:rFonts w:hint="eastAsia" w:ascii="仿宋_GB2312" w:hAnsi="仿宋_GB2312" w:eastAsia="仿宋_GB2312" w:cs="仿宋_GB2312"/>
          <w:sz w:val="32"/>
          <w:szCs w:val="32"/>
          <w:lang w:val="en-US" w:eastAsia="zh-CN"/>
        </w:rPr>
        <w:t>7.污水资源化利用</w:t>
      </w:r>
      <w:bookmarkEnd w:id="186"/>
      <w:bookmarkEnd w:id="187"/>
      <w:bookmarkEnd w:id="188"/>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lang w:eastAsia="zh-CN" w:bidi="ar"/>
        </w:rPr>
      </w:pPr>
      <w:r>
        <w:rPr>
          <w:rFonts w:hint="eastAsia" w:ascii="仿宋_GB2312" w:hAnsi="仿宋_GB2312" w:eastAsia="仿宋_GB2312" w:cs="仿宋_GB2312"/>
          <w:sz w:val="32"/>
          <w:szCs w:val="32"/>
          <w:highlight w:val="none"/>
          <w:lang w:bidi="ar"/>
        </w:rPr>
        <w:t>农村居民产生的生活污水在经过化粪池、沼气池等处理后，</w:t>
      </w:r>
      <w:r>
        <w:rPr>
          <w:rFonts w:hint="eastAsia" w:ascii="仿宋_GB2312" w:hAnsi="仿宋_GB2312" w:eastAsia="仿宋_GB2312" w:cs="仿宋_GB2312"/>
          <w:sz w:val="32"/>
          <w:szCs w:val="32"/>
          <w:highlight w:val="none"/>
          <w:lang w:val="en-US" w:eastAsia="zh-CN" w:bidi="ar"/>
        </w:rPr>
        <w:t>也可以采用资源化利用（自然消解）的处理模式。采用该处理模式，可以不用建设污水处理设施终端及收集管网，应尽可能修复完善并利用村庄现有的排水管路系统将生活污水导入消纳场所，确保不产生污水横流现象。</w:t>
      </w:r>
      <w:r>
        <w:rPr>
          <w:rFonts w:hint="eastAsia" w:ascii="仿宋_GB2312" w:hAnsi="仿宋_GB2312" w:eastAsia="仿宋_GB2312" w:cs="仿宋_GB2312"/>
          <w:sz w:val="32"/>
          <w:szCs w:val="32"/>
          <w:highlight w:val="none"/>
          <w:lang w:bidi="ar"/>
        </w:rPr>
        <w:t>在符合资源化利用的相关标准要求、污水排放不超出受纳体消纳能力、不形成黑臭水体及新的污染源的前提下，鼓励通过以下途径进行资源化利用</w:t>
      </w:r>
      <w:r>
        <w:rPr>
          <w:rFonts w:hint="eastAsia" w:ascii="仿宋_GB2312" w:hAnsi="仿宋_GB2312" w:eastAsia="仿宋_GB2312" w:cs="仿宋_GB2312"/>
          <w:sz w:val="32"/>
          <w:szCs w:val="32"/>
          <w:highlight w:val="none"/>
          <w:lang w:eastAsia="zh-CN" w:bidi="ar"/>
        </w:rPr>
        <w:t>：</w:t>
      </w:r>
    </w:p>
    <w:p>
      <w:pPr>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89" w:name="_Toc3493"/>
      <w:bookmarkStart w:id="190" w:name="_Toc28324"/>
      <w:bookmarkStart w:id="191" w:name="_Toc15604"/>
      <w:bookmarkStart w:id="192" w:name="_Toc31375"/>
      <w:bookmarkStart w:id="193" w:name="_Toc32312"/>
      <w:bookmarkStart w:id="194" w:name="_Toc29528"/>
      <w:bookmarkStart w:id="195" w:name="_Toc28311"/>
      <w:bookmarkStart w:id="196" w:name="_Toc8665"/>
      <w:r>
        <w:rPr>
          <w:rFonts w:hint="eastAsia" w:ascii="仿宋_GB2312" w:hAnsi="仿宋_GB2312" w:eastAsia="仿宋_GB2312" w:cs="仿宋_GB2312"/>
          <w:b/>
          <w:bCs/>
          <w:sz w:val="32"/>
          <w:szCs w:val="32"/>
          <w:highlight w:val="none"/>
          <w:lang w:val="en-US" w:eastAsia="zh-CN"/>
        </w:rPr>
        <w:t>（1）村庄周边农田、林地、草地进行资源回用</w:t>
      </w:r>
      <w:bookmarkEnd w:id="189"/>
      <w:bookmarkEnd w:id="190"/>
      <w:bookmarkEnd w:id="191"/>
      <w:bookmarkEnd w:id="192"/>
      <w:bookmarkEnd w:id="193"/>
      <w:bookmarkEnd w:id="194"/>
      <w:bookmarkEnd w:id="195"/>
      <w:bookmarkEnd w:id="196"/>
    </w:p>
    <w:p>
      <w:pPr>
        <w:keepNext w:val="0"/>
        <w:keepLines w:val="0"/>
        <w:pageBreakBefore w:val="0"/>
        <w:widowControl w:val="0"/>
        <w:kinsoku/>
        <w:wordWrap/>
        <w:overflowPunct/>
        <w:topLinePunct w:val="0"/>
        <w:autoSpaceDE w:val="0"/>
        <w:autoSpaceDN w:val="0"/>
        <w:bidi w:val="0"/>
        <w:adjustRightInd w:val="0"/>
        <w:snapToGrid/>
        <w:spacing w:line="520" w:lineRule="exact"/>
        <w:ind w:firstLine="640" w:firstLineChars="200"/>
        <w:jc w:val="both"/>
        <w:textAlignment w:val="auto"/>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val="0"/>
          <w:bCs w:val="0"/>
          <w:kern w:val="0"/>
          <w:sz w:val="32"/>
          <w:szCs w:val="32"/>
          <w:lang w:val="en-US" w:eastAsia="zh-CN"/>
        </w:rPr>
        <w:t>适用于农户居住分散、受纳体消纳能力强的村庄。将户内处理后污水就地就近接入农田、林地、草地等自然生态系统，利用自然生态系统对污染物吸附、降解、吸收等能力，对污水中水资源及氮磷等营养物质再利用，同时污水得以净化。</w:t>
      </w:r>
    </w:p>
    <w:p>
      <w:pPr>
        <w:autoSpaceDE w:val="0"/>
        <w:autoSpaceDN w:val="0"/>
        <w:adjustRightInd w:val="0"/>
        <w:jc w:val="center"/>
        <w:rPr>
          <w:rFonts w:hint="default" w:ascii="Times New Roman" w:hAnsi="Times New Roman" w:eastAsia="宋体" w:cs="Times New Roman"/>
          <w:b w:val="0"/>
          <w:bCs w:val="0"/>
          <w:sz w:val="28"/>
          <w:szCs w:val="28"/>
        </w:rPr>
      </w:pPr>
      <w:r>
        <w:rPr>
          <w:rFonts w:hint="default" w:ascii="Times New Roman" w:hAnsi="Times New Roman" w:eastAsia="宋体" w:cs="Times New Roman"/>
          <w:b w:val="0"/>
          <w:bCs w:val="0"/>
          <w:sz w:val="28"/>
          <w:szCs w:val="28"/>
        </w:rPr>
        <w:drawing>
          <wp:inline distT="0" distB="0" distL="114300" distR="114300">
            <wp:extent cx="5219700" cy="2148205"/>
            <wp:effectExtent l="9525" t="9525" r="9525" b="13970"/>
            <wp:docPr id="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true"/>
                    </pic:cNvPicPr>
                  </pic:nvPicPr>
                  <pic:blipFill>
                    <a:blip r:embed="rId33"/>
                    <a:stretch>
                      <a:fillRect/>
                    </a:stretch>
                  </pic:blipFill>
                  <pic:spPr>
                    <a:xfrm>
                      <a:off x="0" y="0"/>
                      <a:ext cx="5219700" cy="2148205"/>
                    </a:xfrm>
                    <a:prstGeom prst="rect">
                      <a:avLst/>
                    </a:prstGeom>
                    <a:noFill/>
                    <a:ln w="9525" cap="flat" cmpd="sng">
                      <a:solidFill>
                        <a:srgbClr val="F2F2F2"/>
                      </a:solidFill>
                      <a:prstDash val="solid"/>
                      <a:miter/>
                      <a:headEnd type="none" w="med" len="med"/>
                      <a:tailEnd type="none" w="med" len="med"/>
                    </a:ln>
                  </pic:spPr>
                </pic:pic>
              </a:graphicData>
            </a:graphic>
          </wp:inline>
        </w:drawing>
      </w:r>
    </w:p>
    <w:p>
      <w:pPr>
        <w:pStyle w:val="2"/>
        <w:keepNext w:val="0"/>
        <w:keepLines w:val="0"/>
        <w:pageBreakBefore w:val="0"/>
        <w:kinsoku/>
        <w:wordWrap/>
        <w:overflowPunct/>
        <w:topLinePunct w:val="0"/>
        <w:bidi w:val="0"/>
        <w:adjustRightInd/>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图4-7 接入村庄周边农田、林地、草地进行资源回用示意图</w:t>
      </w:r>
    </w:p>
    <w:p>
      <w:pPr>
        <w:keepNext w:val="0"/>
        <w:keepLines w:val="0"/>
        <w:pageBreakBefore w:val="0"/>
        <w:widowControl/>
        <w:numPr>
          <w:ilvl w:val="0"/>
          <w:numId w:val="0"/>
        </w:numPr>
        <w:tabs>
          <w:tab w:val="left" w:pos="547"/>
          <w:tab w:val="left" w:pos="1080"/>
        </w:tabs>
        <w:kinsoku/>
        <w:wordWrap/>
        <w:overflowPunct/>
        <w:topLinePunct w:val="0"/>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197" w:name="_Toc20825"/>
      <w:bookmarkStart w:id="198" w:name="_Toc726"/>
      <w:bookmarkStart w:id="199" w:name="_Toc24951"/>
      <w:bookmarkStart w:id="200" w:name="_Toc17305"/>
      <w:bookmarkStart w:id="201" w:name="_Toc23688"/>
      <w:bookmarkStart w:id="202" w:name="_Toc12403"/>
      <w:bookmarkStart w:id="203" w:name="_Toc11880"/>
      <w:bookmarkStart w:id="204" w:name="_Toc29347"/>
      <w:bookmarkStart w:id="205" w:name="_Toc21305"/>
      <w:r>
        <w:rPr>
          <w:rFonts w:hint="eastAsia" w:ascii="仿宋_GB2312" w:hAnsi="仿宋_GB2312" w:eastAsia="仿宋_GB2312" w:cs="仿宋_GB2312"/>
          <w:b/>
          <w:bCs/>
          <w:sz w:val="32"/>
          <w:szCs w:val="32"/>
          <w:highlight w:val="none"/>
          <w:lang w:val="en-US" w:eastAsia="zh-CN"/>
        </w:rPr>
        <w:t>（2）接入村庄周边生态沟渠、湿地系统消纳处理</w:t>
      </w:r>
      <w:bookmarkEnd w:id="197"/>
      <w:bookmarkEnd w:id="198"/>
      <w:bookmarkEnd w:id="199"/>
      <w:bookmarkEnd w:id="200"/>
      <w:bookmarkEnd w:id="201"/>
      <w:bookmarkEnd w:id="202"/>
      <w:bookmarkEnd w:id="203"/>
      <w:bookmarkEnd w:id="204"/>
      <w:bookmarkEnd w:id="205"/>
    </w:p>
    <w:p>
      <w:pPr>
        <w:keepNext w:val="0"/>
        <w:keepLines w:val="0"/>
        <w:pageBreakBefore w:val="0"/>
        <w:widowControl w:val="0"/>
        <w:kinsoku/>
        <w:wordWrap/>
        <w:overflowPunct/>
        <w:topLinePunct w:val="0"/>
        <w:autoSpaceDE w:val="0"/>
        <w:autoSpaceDN w:val="0"/>
        <w:bidi w:val="0"/>
        <w:adjustRightInd/>
        <w:snapToGrid/>
        <w:spacing w:line="520" w:lineRule="exact"/>
        <w:ind w:firstLine="640" w:firstLineChars="200"/>
        <w:jc w:val="both"/>
        <w:textAlignment w:val="auto"/>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val="0"/>
          <w:bCs w:val="0"/>
          <w:kern w:val="0"/>
          <w:sz w:val="32"/>
          <w:szCs w:val="32"/>
          <w:lang w:val="en-US" w:eastAsia="zh-CN"/>
        </w:rPr>
        <w:t>适用于农户居住分散、周边生态沟渠多的村庄。污水经户内处理或一定预处理后接入生态沟渠、湿地等消纳处理，非生态沟渠可通过配置相应水生植物系统等生态化改造为生态沟渠，宜设置局部滞留或跌水，增加污水与受纳体之间的接触和交换。</w:t>
      </w:r>
    </w:p>
    <w:p>
      <w:pPr>
        <w:autoSpaceDE w:val="0"/>
        <w:autoSpaceDN w:val="0"/>
        <w:adjustRightInd w:val="0"/>
        <w:jc w:val="center"/>
        <w:rPr>
          <w:rFonts w:hint="default" w:ascii="Times New Roman" w:hAnsi="Times New Roman" w:eastAsia="宋体" w:cs="Times New Roman"/>
          <w:b w:val="0"/>
          <w:bCs w:val="0"/>
          <w:sz w:val="28"/>
          <w:szCs w:val="28"/>
        </w:rPr>
      </w:pPr>
      <w:r>
        <w:rPr>
          <w:rFonts w:hint="default" w:ascii="Times New Roman" w:hAnsi="Times New Roman" w:eastAsia="宋体" w:cs="Times New Roman"/>
          <w:b w:val="0"/>
          <w:bCs w:val="0"/>
          <w:sz w:val="28"/>
          <w:szCs w:val="28"/>
        </w:rPr>
        <w:drawing>
          <wp:inline distT="0" distB="0" distL="114300" distR="114300">
            <wp:extent cx="5755005" cy="2324100"/>
            <wp:effectExtent l="9525" t="9525" r="26670" b="9525"/>
            <wp:docPr id="1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true"/>
                    </pic:cNvPicPr>
                  </pic:nvPicPr>
                  <pic:blipFill>
                    <a:blip r:embed="rId34"/>
                    <a:stretch>
                      <a:fillRect/>
                    </a:stretch>
                  </pic:blipFill>
                  <pic:spPr>
                    <a:xfrm>
                      <a:off x="0" y="0"/>
                      <a:ext cx="5755005" cy="2324100"/>
                    </a:xfrm>
                    <a:prstGeom prst="rect">
                      <a:avLst/>
                    </a:prstGeom>
                    <a:noFill/>
                    <a:ln w="9525" cap="flat" cmpd="sng">
                      <a:solidFill>
                        <a:srgbClr val="F2F2F2"/>
                      </a:solidFill>
                      <a:prstDash val="solid"/>
                      <a:miter/>
                      <a:headEnd type="none" w="med" len="med"/>
                      <a:tailEnd type="none" w="med" len="med"/>
                    </a:ln>
                  </pic:spPr>
                </pic:pic>
              </a:graphicData>
            </a:graphic>
          </wp:inline>
        </w:drawing>
      </w:r>
    </w:p>
    <w:p>
      <w:pPr>
        <w:pStyle w:val="2"/>
        <w:keepNext w:val="0"/>
        <w:keepLines w:val="0"/>
        <w:pageBreakBefore w:val="0"/>
        <w:kinsoku/>
        <w:wordWrap/>
        <w:overflowPunct/>
        <w:topLinePunct w:val="0"/>
        <w:bidi w:val="0"/>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图4-8 接入村庄周边生态沟渠、湿地系统消纳处理示意图</w:t>
      </w:r>
    </w:p>
    <w:p>
      <w:pPr>
        <w:keepNext w:val="0"/>
        <w:keepLines w:val="0"/>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206" w:name="_Toc30974"/>
      <w:bookmarkStart w:id="207" w:name="_Toc32720"/>
      <w:bookmarkStart w:id="208" w:name="_Toc25615"/>
      <w:bookmarkStart w:id="209" w:name="_Toc18502"/>
      <w:bookmarkStart w:id="210" w:name="_Toc5913"/>
      <w:bookmarkStart w:id="211" w:name="_Toc18428"/>
      <w:bookmarkStart w:id="212" w:name="_Toc11951"/>
      <w:bookmarkStart w:id="213" w:name="_Toc9813"/>
      <w:bookmarkStart w:id="214" w:name="_Toc21554"/>
      <w:r>
        <w:rPr>
          <w:rFonts w:hint="eastAsia" w:ascii="仿宋_GB2312" w:hAnsi="仿宋_GB2312" w:eastAsia="仿宋_GB2312" w:cs="仿宋_GB2312"/>
          <w:b/>
          <w:bCs/>
          <w:sz w:val="32"/>
          <w:szCs w:val="32"/>
          <w:highlight w:val="none"/>
          <w:lang w:val="en-US" w:eastAsia="zh-CN"/>
        </w:rPr>
        <w:t>（3）就地回用于房前屋后“四小园”浇施</w:t>
      </w:r>
      <w:bookmarkEnd w:id="206"/>
      <w:bookmarkEnd w:id="207"/>
      <w:bookmarkEnd w:id="208"/>
      <w:bookmarkEnd w:id="209"/>
      <w:bookmarkEnd w:id="210"/>
      <w:bookmarkEnd w:id="211"/>
      <w:bookmarkEnd w:id="212"/>
      <w:bookmarkEnd w:id="213"/>
      <w:bookmarkEnd w:id="214"/>
    </w:p>
    <w:p>
      <w:pPr>
        <w:keepNext w:val="0"/>
        <w:keepLines w:val="0"/>
        <w:pageBreakBefore w:val="0"/>
        <w:widowControl w:val="0"/>
        <w:kinsoku/>
        <w:wordWrap/>
        <w:overflowPunct/>
        <w:topLinePunct w:val="0"/>
        <w:autoSpaceDE w:val="0"/>
        <w:autoSpaceDN w:val="0"/>
        <w:bidi w:val="0"/>
        <w:adjustRightInd w:val="0"/>
        <w:snapToGrid/>
        <w:spacing w:line="520" w:lineRule="exact"/>
        <w:ind w:firstLine="640" w:firstLineChars="200"/>
        <w:jc w:val="both"/>
        <w:textAlignment w:val="auto"/>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val="0"/>
          <w:bCs w:val="0"/>
          <w:kern w:val="0"/>
          <w:sz w:val="32"/>
          <w:szCs w:val="32"/>
          <w:lang w:val="en-US" w:eastAsia="zh-CN"/>
        </w:rPr>
        <w:t>适用于农户分散分布，且户与户之间建有“四小园”等受纳体充足的村庄。农户将户内处理后污水就地就近回用于房前屋后的“四小园”浇施，对污水中水资源及氮磷等营养物质再利用。</w:t>
      </w:r>
    </w:p>
    <w:p>
      <w:pPr>
        <w:autoSpaceDE w:val="0"/>
        <w:autoSpaceDN w:val="0"/>
        <w:adjustRightInd w:val="0"/>
        <w:ind w:left="0" w:leftChars="0" w:right="0" w:rightChars="0" w:firstLine="0" w:firstLineChars="0"/>
        <w:jc w:val="center"/>
        <w:rPr>
          <w:rFonts w:hint="default" w:ascii="Times New Roman" w:hAnsi="Times New Roman" w:eastAsia="宋体" w:cs="Times New Roman"/>
          <w:b w:val="0"/>
          <w:bCs w:val="0"/>
          <w:sz w:val="28"/>
          <w:szCs w:val="28"/>
        </w:rPr>
      </w:pPr>
      <w:r>
        <w:rPr>
          <w:rFonts w:hint="default" w:ascii="Times New Roman" w:hAnsi="Times New Roman" w:eastAsia="宋体" w:cs="Times New Roman"/>
          <w:b w:val="0"/>
          <w:bCs w:val="0"/>
          <w:sz w:val="28"/>
          <w:szCs w:val="28"/>
        </w:rPr>
        <w:drawing>
          <wp:inline distT="0" distB="0" distL="114300" distR="114300">
            <wp:extent cx="5219700" cy="2108835"/>
            <wp:effectExtent l="9525" t="9525" r="9525" b="15240"/>
            <wp:docPr id="1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true"/>
                    </pic:cNvPicPr>
                  </pic:nvPicPr>
                  <pic:blipFill>
                    <a:blip r:embed="rId35"/>
                    <a:stretch>
                      <a:fillRect/>
                    </a:stretch>
                  </pic:blipFill>
                  <pic:spPr>
                    <a:xfrm>
                      <a:off x="0" y="0"/>
                      <a:ext cx="5219700" cy="2108835"/>
                    </a:xfrm>
                    <a:prstGeom prst="rect">
                      <a:avLst/>
                    </a:prstGeom>
                    <a:noFill/>
                    <a:ln w="9525" cap="flat" cmpd="sng">
                      <a:solidFill>
                        <a:srgbClr val="F2F2F2"/>
                      </a:solidFill>
                      <a:prstDash val="solid"/>
                      <a:miter/>
                      <a:headEnd type="none" w="med" len="med"/>
                      <a:tailEnd type="none" w="med" len="med"/>
                    </a:ln>
                  </pic:spPr>
                </pic:pic>
              </a:graphicData>
            </a:graphic>
          </wp:inline>
        </w:drawing>
      </w:r>
    </w:p>
    <w:p>
      <w:pPr>
        <w:pStyle w:val="2"/>
        <w:keepNext w:val="0"/>
        <w:keepLines w:val="0"/>
        <w:pageBreakBefore w:val="0"/>
        <w:kinsoku/>
        <w:wordWrap/>
        <w:overflowPunct/>
        <w:topLinePunct w:val="0"/>
        <w:bidi w:val="0"/>
        <w:adjustRightInd/>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图4-9 就地回用房前屋后“四小园”浇施示意图</w:t>
      </w:r>
    </w:p>
    <w:p>
      <w:pPr>
        <w:keepNext w:val="0"/>
        <w:keepLines w:val="0"/>
        <w:pageBreakBefore w:val="0"/>
        <w:widowControl/>
        <w:numPr>
          <w:ilvl w:val="0"/>
          <w:numId w:val="0"/>
        </w:numPr>
        <w:tabs>
          <w:tab w:val="left" w:pos="547"/>
          <w:tab w:val="left" w:pos="1080"/>
        </w:tabs>
        <w:kinsoku/>
        <w:wordWrap/>
        <w:overflowPunct/>
        <w:topLinePunct w:val="0"/>
        <w:bidi w:val="0"/>
        <w:adjustRightInd/>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215" w:name="_Toc3119"/>
      <w:bookmarkStart w:id="216" w:name="_Toc19449"/>
      <w:bookmarkStart w:id="217" w:name="_Toc8532"/>
      <w:bookmarkStart w:id="218" w:name="_Toc7707"/>
      <w:bookmarkStart w:id="219" w:name="_Toc10945"/>
      <w:bookmarkStart w:id="220" w:name="_Toc455"/>
      <w:bookmarkStart w:id="221" w:name="_Toc21745"/>
      <w:bookmarkStart w:id="222" w:name="_Toc3958"/>
      <w:bookmarkStart w:id="223" w:name="_Toc11294"/>
      <w:r>
        <w:rPr>
          <w:rFonts w:hint="eastAsia" w:ascii="仿宋_GB2312" w:hAnsi="仿宋_GB2312" w:eastAsia="仿宋_GB2312" w:cs="仿宋_GB2312"/>
          <w:b/>
          <w:bCs/>
          <w:sz w:val="32"/>
          <w:szCs w:val="32"/>
          <w:highlight w:val="none"/>
          <w:lang w:val="en-US" w:eastAsia="zh-CN"/>
        </w:rPr>
        <w:t>（4）接入生态化改造后的池塘等水域生态系统消纳</w:t>
      </w:r>
      <w:bookmarkEnd w:id="215"/>
      <w:bookmarkEnd w:id="216"/>
      <w:bookmarkEnd w:id="217"/>
      <w:bookmarkEnd w:id="218"/>
      <w:bookmarkEnd w:id="219"/>
      <w:bookmarkEnd w:id="220"/>
      <w:bookmarkEnd w:id="221"/>
      <w:bookmarkEnd w:id="222"/>
      <w:bookmarkEnd w:id="223"/>
    </w:p>
    <w:p>
      <w:pPr>
        <w:keepNext w:val="0"/>
        <w:keepLines w:val="0"/>
        <w:pageBreakBefore w:val="0"/>
        <w:widowControl w:val="0"/>
        <w:kinsoku/>
        <w:wordWrap/>
        <w:overflowPunct/>
        <w:topLinePunct w:val="0"/>
        <w:autoSpaceDE w:val="0"/>
        <w:autoSpaceDN w:val="0"/>
        <w:bidi w:val="0"/>
        <w:adjustRightInd/>
        <w:snapToGrid/>
        <w:spacing w:line="520" w:lineRule="exact"/>
        <w:ind w:firstLine="640" w:firstLineChars="200"/>
        <w:jc w:val="both"/>
        <w:textAlignment w:val="auto"/>
        <w:rPr>
          <w:rFonts w:hint="eastAsia" w:ascii="仿宋_GB2312" w:hAnsi="仿宋_GB2312" w:eastAsia="仿宋_GB2312" w:cs="仿宋_GB2312"/>
          <w:b w:val="0"/>
          <w:bCs w:val="0"/>
          <w:kern w:val="0"/>
          <w:sz w:val="32"/>
          <w:szCs w:val="32"/>
          <w:lang w:val="en-US" w:eastAsia="zh-CN"/>
        </w:rPr>
      </w:pPr>
      <w:r>
        <w:rPr>
          <w:rFonts w:hint="eastAsia" w:ascii="仿宋_GB2312" w:hAnsi="仿宋_GB2312" w:eastAsia="仿宋_GB2312" w:cs="仿宋_GB2312"/>
          <w:b w:val="0"/>
          <w:bCs w:val="0"/>
          <w:kern w:val="0"/>
          <w:sz w:val="32"/>
          <w:szCs w:val="32"/>
          <w:lang w:val="en-US" w:eastAsia="zh-CN"/>
        </w:rPr>
        <w:t>适用于农户居住分散、周边水塘较多的地区。污水经户内处理后接入水塘消纳。为保障水塘水质，宜通过种植水生植物、配置增氧设施等对池塘进行生态化改造，提升消纳处理能力。宜对入塘污水进行相应预处理，定期观察池塘水质变化，确保污水不过量接入，影响水塘水质。</w:t>
      </w:r>
    </w:p>
    <w:p>
      <w:pPr>
        <w:autoSpaceDE w:val="0"/>
        <w:autoSpaceDN w:val="0"/>
        <w:adjustRightInd w:val="0"/>
        <w:jc w:val="center"/>
        <w:rPr>
          <w:rFonts w:hint="default" w:ascii="Times New Roman" w:hAnsi="Times New Roman" w:eastAsia="宋体" w:cs="Times New Roman"/>
          <w:b w:val="0"/>
          <w:bCs w:val="0"/>
          <w:sz w:val="28"/>
          <w:szCs w:val="28"/>
        </w:rPr>
      </w:pPr>
      <w:r>
        <w:rPr>
          <w:rFonts w:hint="default" w:ascii="Times New Roman" w:hAnsi="Times New Roman" w:eastAsia="宋体" w:cs="Times New Roman"/>
          <w:sz w:val="28"/>
          <w:szCs w:val="28"/>
        </w:rPr>
        <w:drawing>
          <wp:inline distT="0" distB="0" distL="114300" distR="114300">
            <wp:extent cx="5613400" cy="2214245"/>
            <wp:effectExtent l="0" t="0" r="6350" b="14605"/>
            <wp:docPr id="1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true"/>
                    </pic:cNvPicPr>
                  </pic:nvPicPr>
                  <pic:blipFill>
                    <a:blip r:embed="rId36"/>
                    <a:stretch>
                      <a:fillRect/>
                    </a:stretch>
                  </pic:blipFill>
                  <pic:spPr>
                    <a:xfrm>
                      <a:off x="0" y="0"/>
                      <a:ext cx="5613400" cy="2214245"/>
                    </a:xfrm>
                    <a:prstGeom prst="rect">
                      <a:avLst/>
                    </a:prstGeom>
                    <a:noFill/>
                    <a:ln>
                      <a:noFill/>
                    </a:ln>
                  </pic:spPr>
                </pic:pic>
              </a:graphicData>
            </a:graphic>
          </wp:inline>
        </w:drawing>
      </w:r>
    </w:p>
    <w:p>
      <w:pPr>
        <w:pStyle w:val="2"/>
        <w:keepNext w:val="0"/>
        <w:keepLines w:val="0"/>
        <w:pageBreakBefore w:val="0"/>
        <w:kinsoku/>
        <w:wordWrap/>
        <w:overflowPunct/>
        <w:topLinePunct w:val="0"/>
        <w:bidi w:val="0"/>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图4-10 接入生态化改造后的池塘等水域生态消纳示意图</w:t>
      </w:r>
    </w:p>
    <w:p>
      <w:pPr>
        <w:keepNext w:val="0"/>
        <w:keepLines w:val="0"/>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224" w:name="_Toc9463"/>
      <w:bookmarkStart w:id="225" w:name="_Toc26059"/>
      <w:bookmarkStart w:id="226" w:name="_Toc28737"/>
      <w:bookmarkStart w:id="227" w:name="_Toc27741"/>
      <w:bookmarkStart w:id="228" w:name="_Toc16450"/>
      <w:bookmarkStart w:id="229" w:name="_Toc22144"/>
      <w:bookmarkStart w:id="230" w:name="_Toc31401"/>
      <w:bookmarkStart w:id="231" w:name="_Toc29721"/>
      <w:bookmarkStart w:id="232" w:name="_Toc31784"/>
      <w:r>
        <w:rPr>
          <w:rFonts w:hint="eastAsia" w:ascii="仿宋_GB2312" w:hAnsi="仿宋_GB2312" w:eastAsia="仿宋_GB2312" w:cs="仿宋_GB2312"/>
          <w:b/>
          <w:bCs/>
          <w:sz w:val="32"/>
          <w:szCs w:val="32"/>
          <w:highlight w:val="none"/>
          <w:lang w:val="en-US" w:eastAsia="zh-CN"/>
        </w:rPr>
        <w:t>（5）输送到农田灌溉系统</w:t>
      </w:r>
      <w:bookmarkEnd w:id="224"/>
      <w:r>
        <w:rPr>
          <w:rFonts w:hint="eastAsia" w:ascii="仿宋_GB2312" w:hAnsi="仿宋_GB2312" w:eastAsia="仿宋_GB2312" w:cs="仿宋_GB2312"/>
          <w:b/>
          <w:bCs/>
          <w:sz w:val="32"/>
          <w:szCs w:val="32"/>
          <w:highlight w:val="none"/>
          <w:lang w:val="en-US" w:eastAsia="zh-CN"/>
        </w:rPr>
        <w:t>浇施</w:t>
      </w:r>
      <w:bookmarkEnd w:id="225"/>
      <w:bookmarkEnd w:id="226"/>
      <w:bookmarkEnd w:id="227"/>
      <w:bookmarkEnd w:id="228"/>
      <w:bookmarkEnd w:id="229"/>
      <w:bookmarkEnd w:id="230"/>
      <w:bookmarkEnd w:id="231"/>
      <w:bookmarkEnd w:id="232"/>
    </w:p>
    <w:p>
      <w:pPr>
        <w:keepNext w:val="0"/>
        <w:keepLines w:val="0"/>
        <w:pageBreakBefore w:val="0"/>
        <w:widowControl w:val="0"/>
        <w:kinsoku/>
        <w:wordWrap/>
        <w:overflowPunct/>
        <w:topLinePunct w:val="0"/>
        <w:autoSpaceDE w:val="0"/>
        <w:autoSpaceDN w:val="0"/>
        <w:bidi w:val="0"/>
        <w:adjustRightInd w:val="0"/>
        <w:snapToGrid/>
        <w:spacing w:line="520" w:lineRule="exact"/>
        <w:ind w:firstLine="640" w:firstLineChars="200"/>
        <w:jc w:val="both"/>
        <w:textAlignment w:val="auto"/>
        <w:rPr>
          <w:rFonts w:hint="eastAsia" w:ascii="仿宋_GB2312" w:hAnsi="仿宋_GB2312" w:eastAsia="仿宋_GB2312" w:cs="仿宋_GB2312"/>
          <w:b w:val="0"/>
          <w:bCs w:val="0"/>
          <w:kern w:val="0"/>
          <w:sz w:val="32"/>
          <w:szCs w:val="32"/>
          <w:highlight w:val="yellow"/>
          <w:lang w:val="en-US" w:eastAsia="zh-CN"/>
        </w:rPr>
      </w:pPr>
      <w:r>
        <w:rPr>
          <w:rFonts w:hint="eastAsia" w:ascii="仿宋_GB2312" w:hAnsi="仿宋_GB2312" w:eastAsia="仿宋_GB2312" w:cs="仿宋_GB2312"/>
          <w:b w:val="0"/>
          <w:bCs w:val="0"/>
          <w:kern w:val="0"/>
          <w:sz w:val="32"/>
          <w:szCs w:val="32"/>
          <w:lang w:val="en-US" w:eastAsia="zh-CN"/>
        </w:rPr>
        <w:t>适用于周边有丰富农田土地资源、水资源相对缺乏地区的村庄。通过建设管网或配置污水运送工具，将污水输送到田间储存设施并配合其他肥料制成肥水，并结合</w:t>
      </w:r>
      <w:r>
        <w:rPr>
          <w:rFonts w:hint="eastAsia" w:ascii="仿宋_GB2312" w:hAnsi="仿宋_GB2312" w:eastAsia="仿宋_GB2312" w:cs="仿宋_GB2312"/>
          <w:b w:val="0"/>
          <w:bCs w:val="0"/>
          <w:kern w:val="0"/>
          <w:sz w:val="32"/>
          <w:szCs w:val="32"/>
        </w:rPr>
        <w:t>分布在田间地头的灌溉设施、管线</w:t>
      </w:r>
      <w:r>
        <w:rPr>
          <w:rFonts w:hint="eastAsia" w:ascii="仿宋_GB2312" w:hAnsi="仿宋_GB2312" w:eastAsia="仿宋_GB2312" w:cs="仿宋_GB2312"/>
          <w:b w:val="0"/>
          <w:bCs w:val="0"/>
          <w:kern w:val="0"/>
          <w:sz w:val="32"/>
          <w:szCs w:val="32"/>
          <w:lang w:val="en-US" w:eastAsia="zh-CN"/>
        </w:rPr>
        <w:t>等</w:t>
      </w:r>
      <w:r>
        <w:rPr>
          <w:rFonts w:hint="eastAsia" w:ascii="仿宋_GB2312" w:hAnsi="仿宋_GB2312" w:eastAsia="仿宋_GB2312" w:cs="仿宋_GB2312"/>
          <w:b w:val="0"/>
          <w:bCs w:val="0"/>
          <w:kern w:val="0"/>
          <w:sz w:val="32"/>
          <w:szCs w:val="32"/>
        </w:rPr>
        <w:t>，将污水输送到种植区进行资源化利用。</w:t>
      </w:r>
      <w:r>
        <w:rPr>
          <w:rFonts w:hint="eastAsia" w:ascii="仿宋_GB2312" w:hAnsi="仿宋_GB2312" w:eastAsia="仿宋_GB2312" w:cs="仿宋_GB2312"/>
          <w:b w:val="0"/>
          <w:bCs w:val="0"/>
          <w:kern w:val="0"/>
          <w:sz w:val="32"/>
          <w:szCs w:val="32"/>
          <w:lang w:val="en-US" w:eastAsia="zh-CN"/>
        </w:rPr>
        <w:t>应避免</w:t>
      </w:r>
      <w:r>
        <w:rPr>
          <w:rFonts w:hint="eastAsia" w:ascii="仿宋_GB2312" w:hAnsi="仿宋_GB2312" w:eastAsia="仿宋_GB2312" w:cs="仿宋_GB2312"/>
          <w:b w:val="0"/>
          <w:bCs w:val="0"/>
          <w:kern w:val="0"/>
          <w:sz w:val="32"/>
          <w:szCs w:val="32"/>
          <w:highlight w:val="none"/>
          <w:lang w:val="en-US" w:eastAsia="zh-CN"/>
        </w:rPr>
        <w:t>污水直排入灌溉渠道进行资源化利用。</w:t>
      </w:r>
    </w:p>
    <w:p>
      <w:pPr>
        <w:autoSpaceDE w:val="0"/>
        <w:autoSpaceDN w:val="0"/>
        <w:adjustRightInd w:val="0"/>
        <w:ind w:left="0" w:leftChars="0" w:right="0" w:rightChars="0" w:firstLine="0" w:firstLineChars="0"/>
        <w:jc w:val="both"/>
        <w:rPr>
          <w:rFonts w:hint="default" w:ascii="Times New Roman" w:hAnsi="Times New Roman" w:eastAsia="宋体" w:cs="Times New Roman"/>
          <w:b w:val="0"/>
          <w:bCs w:val="0"/>
          <w:sz w:val="28"/>
          <w:szCs w:val="28"/>
        </w:rPr>
      </w:pPr>
      <w:r>
        <w:rPr>
          <w:rFonts w:hint="default" w:ascii="Times New Roman" w:hAnsi="Times New Roman" w:eastAsia="宋体" w:cs="Times New Roman"/>
          <w:b w:val="0"/>
          <w:bCs w:val="0"/>
          <w:sz w:val="28"/>
          <w:szCs w:val="28"/>
        </w:rPr>
        <w:drawing>
          <wp:inline distT="0" distB="0" distL="114300" distR="114300">
            <wp:extent cx="5615940" cy="1739900"/>
            <wp:effectExtent l="9525" t="9525" r="13335" b="22225"/>
            <wp:docPr id="1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true"/>
                    </pic:cNvPicPr>
                  </pic:nvPicPr>
                  <pic:blipFill>
                    <a:blip r:embed="rId37"/>
                    <a:stretch>
                      <a:fillRect/>
                    </a:stretch>
                  </pic:blipFill>
                  <pic:spPr>
                    <a:xfrm>
                      <a:off x="0" y="0"/>
                      <a:ext cx="5615940" cy="1739900"/>
                    </a:xfrm>
                    <a:prstGeom prst="rect">
                      <a:avLst/>
                    </a:prstGeom>
                    <a:noFill/>
                    <a:ln w="9525" cap="flat" cmpd="sng">
                      <a:solidFill>
                        <a:srgbClr val="F2F2F2"/>
                      </a:solidFill>
                      <a:prstDash val="solid"/>
                      <a:miter/>
                      <a:headEnd type="none" w="med" len="med"/>
                      <a:tailEnd type="none" w="med" len="med"/>
                    </a:ln>
                  </pic:spPr>
                </pic:pic>
              </a:graphicData>
            </a:graphic>
          </wp:inline>
        </w:drawing>
      </w:r>
    </w:p>
    <w:p>
      <w:pPr>
        <w:pStyle w:val="2"/>
        <w:pageBreakBefore w:val="0"/>
        <w:widowControl w:val="0"/>
        <w:kinsoku/>
        <w:wordWrap/>
        <w:overflowPunct/>
        <w:topLinePunct w:val="0"/>
        <w:autoSpaceDE/>
        <w:autoSpaceDN/>
        <w:bidi w:val="0"/>
        <w:adjustRightInd/>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图4-11 输送到农田灌溉系统浇施示意图</w:t>
      </w:r>
    </w:p>
    <w:p>
      <w:pPr>
        <w:pStyle w:val="6"/>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33" w:name="_Toc18779"/>
      <w:bookmarkStart w:id="234" w:name="_Toc11323"/>
      <w:bookmarkStart w:id="235" w:name="_Toc11753"/>
      <w:bookmarkStart w:id="236" w:name="_Toc32301"/>
      <w:r>
        <w:rPr>
          <w:rFonts w:hint="eastAsia" w:ascii="仿宋_GB2312" w:hAnsi="仿宋_GB2312" w:eastAsia="仿宋_GB2312" w:cs="仿宋_GB2312"/>
          <w:sz w:val="32"/>
          <w:szCs w:val="32"/>
          <w:lang w:val="en-US" w:eastAsia="zh-CN"/>
        </w:rPr>
        <w:t>8.污泥处理处置</w:t>
      </w:r>
      <w:bookmarkEnd w:id="233"/>
      <w:bookmarkEnd w:id="234"/>
      <w:bookmarkEnd w:id="235"/>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bidi="ar"/>
        </w:rPr>
      </w:pPr>
      <w:r>
        <w:rPr>
          <w:rFonts w:hint="eastAsia" w:ascii="仿宋_GB2312" w:hAnsi="仿宋_GB2312" w:eastAsia="仿宋_GB2312" w:cs="仿宋_GB2312"/>
          <w:sz w:val="32"/>
          <w:szCs w:val="32"/>
          <w:highlight w:val="none"/>
          <w:lang w:bidi="ar"/>
        </w:rPr>
        <w:t>农村生活污水处理过程中产生的污泥，其处理、处置方式应根据农村生活污水处理工程规模、污泥产生量、污泥资源化利用途径等条件进行选择，并符合减量化、稳定化、无害化、资源化的原则。</w:t>
      </w:r>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bidi="ar"/>
        </w:rPr>
        <w:t>农村水处理设施产生的污泥主要通过堆肥处理或焚烧、填埋处理。堆肥处理一般适用于人口相对规模小、居住分散、污泥产生量小的村庄，焚烧、填埋处理一般适用于人口规模较大、居住较集中、采用集中式污水处理模式的村庄，或靠近城镇、转运方便的村庄。本方案中新建及整改设施产生的污泥处理与利用方式后期根据实际建设和运维情况确定。</w:t>
      </w:r>
    </w:p>
    <w:p>
      <w:pPr>
        <w:pStyle w:val="5"/>
        <w:pageBreakBefore w:val="0"/>
        <w:widowControl w:val="0"/>
        <w:kinsoku/>
        <w:wordWrap/>
        <w:overflowPunct/>
        <w:topLinePunct w:val="0"/>
        <w:autoSpaceDE/>
        <w:autoSpaceDN/>
        <w:bidi w:val="0"/>
        <w:adjustRightInd/>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rPr>
      </w:pPr>
      <w:bookmarkStart w:id="237" w:name="_Toc32515"/>
      <w:r>
        <w:rPr>
          <w:rFonts w:hint="eastAsia" w:ascii="楷体_GB2312" w:hAnsi="楷体_GB2312" w:eastAsia="楷体_GB2312" w:cs="楷体_GB2312"/>
          <w:b w:val="0"/>
          <w:bCs w:val="0"/>
          <w:sz w:val="32"/>
          <w:szCs w:val="32"/>
          <w:lang w:eastAsia="zh-CN"/>
        </w:rPr>
        <w:t>（二）</w:t>
      </w:r>
      <w:r>
        <w:rPr>
          <w:rFonts w:hint="eastAsia" w:ascii="楷体_GB2312" w:hAnsi="楷体_GB2312" w:eastAsia="楷体_GB2312" w:cs="楷体_GB2312"/>
          <w:b w:val="0"/>
          <w:bCs w:val="0"/>
          <w:sz w:val="32"/>
          <w:szCs w:val="32"/>
        </w:rPr>
        <w:t>农村生活污水治理规划</w:t>
      </w:r>
      <w:bookmarkEnd w:id="236"/>
      <w:bookmarkEnd w:id="237"/>
    </w:p>
    <w:p>
      <w:pPr>
        <w:pStyle w:val="6"/>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rPr>
      </w:pPr>
      <w:bookmarkStart w:id="238" w:name="_Toc19344"/>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重点区域自然村分析</w:t>
      </w:r>
      <w:bookmarkEnd w:id="238"/>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按照《深化我省农村生活污水治理攻坚行动的指导意见》及其他重要文件要求，坚持问题导向，梯次推进，优先治理城乡结合部、中心村、黑臭水体集中区域、水源保护区、旅游风景区、美丽乡村风貌示范带、国考断面周边等重点区域内农村生活污水。</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本次</w:t>
      </w:r>
      <w:r>
        <w:rPr>
          <w:rFonts w:hint="eastAsia" w:ascii="仿宋_GB2312" w:hAnsi="仿宋_GB2312" w:eastAsia="仿宋_GB2312" w:cs="仿宋_GB2312"/>
          <w:sz w:val="32"/>
          <w:szCs w:val="32"/>
          <w:highlight w:val="none"/>
          <w:lang w:val="en-US" w:eastAsia="zh-CN"/>
        </w:rPr>
        <w:t>汕尾市城区</w:t>
      </w:r>
      <w:r>
        <w:rPr>
          <w:rFonts w:hint="eastAsia" w:ascii="仿宋_GB2312" w:hAnsi="仿宋_GB2312" w:eastAsia="仿宋_GB2312" w:cs="仿宋_GB2312"/>
          <w:sz w:val="32"/>
          <w:szCs w:val="32"/>
          <w:highlight w:val="none"/>
        </w:rPr>
        <w:t>农村生活污水治理</w:t>
      </w:r>
      <w:r>
        <w:rPr>
          <w:rFonts w:hint="eastAsia" w:ascii="仿宋_GB2312" w:hAnsi="仿宋_GB2312" w:eastAsia="仿宋_GB2312" w:cs="仿宋_GB2312"/>
          <w:sz w:val="32"/>
          <w:szCs w:val="32"/>
          <w:highlight w:val="none"/>
          <w:lang w:val="en-US" w:eastAsia="zh-CN"/>
        </w:rPr>
        <w:t>专项</w:t>
      </w:r>
      <w:r>
        <w:rPr>
          <w:rFonts w:hint="eastAsia" w:ascii="仿宋_GB2312" w:hAnsi="仿宋_GB2312" w:eastAsia="仿宋_GB2312" w:cs="仿宋_GB2312"/>
          <w:sz w:val="32"/>
          <w:szCs w:val="32"/>
          <w:highlight w:val="none"/>
        </w:rPr>
        <w:t>规划，在充分摸清村庄治理现状情况下，对</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范围内农村生活污水治理需求，涉及生态环境敏感、环境质量要求较高的村庄进行空间筛选；结合</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实际和现场调查情况，将人口规模超过1000人，居住集中的自然村纳入优先治理的重点村庄（已基本</w:t>
      </w:r>
      <w:r>
        <w:rPr>
          <w:rFonts w:hint="eastAsia" w:ascii="仿宋_GB2312" w:hAnsi="仿宋_GB2312" w:eastAsia="仿宋_GB2312" w:cs="仿宋_GB2312"/>
          <w:sz w:val="32"/>
          <w:szCs w:val="32"/>
          <w:highlight w:val="none"/>
          <w:lang w:val="en-US" w:eastAsia="zh-CN"/>
        </w:rPr>
        <w:t>包含</w:t>
      </w:r>
      <w:r>
        <w:rPr>
          <w:rFonts w:hint="eastAsia" w:ascii="仿宋_GB2312" w:hAnsi="仿宋_GB2312" w:eastAsia="仿宋_GB2312" w:cs="仿宋_GB2312"/>
          <w:sz w:val="32"/>
          <w:szCs w:val="32"/>
          <w:highlight w:val="none"/>
        </w:rPr>
        <w:t>城乡结合部和中心村类型）；</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根据广东省</w:t>
      </w:r>
      <w:r>
        <w:rPr>
          <w:rFonts w:hint="eastAsia" w:ascii="仿宋_GB2312" w:hAnsi="仿宋_GB2312" w:eastAsia="仿宋_GB2312" w:cs="仿宋_GB2312"/>
          <w:sz w:val="32"/>
          <w:szCs w:val="32"/>
          <w:highlight w:val="none"/>
          <w:lang w:val="en-US" w:eastAsia="zh-CN"/>
        </w:rPr>
        <w:t>汕尾市</w:t>
      </w:r>
      <w:r>
        <w:rPr>
          <w:rFonts w:hint="eastAsia" w:ascii="仿宋_GB2312" w:hAnsi="仿宋_GB2312" w:eastAsia="仿宋_GB2312" w:cs="仿宋_GB2312"/>
          <w:sz w:val="32"/>
          <w:szCs w:val="32"/>
          <w:highlight w:val="none"/>
        </w:rPr>
        <w:t>饮用水水源保护区划定成果显示，</w:t>
      </w:r>
      <w:r>
        <w:rPr>
          <w:rFonts w:hint="eastAsia" w:ascii="仿宋_GB2312" w:hAnsi="仿宋_GB2312" w:eastAsia="仿宋_GB2312" w:cs="仿宋_GB2312"/>
          <w:sz w:val="32"/>
          <w:szCs w:val="32"/>
          <w:highlight w:val="none"/>
          <w:lang w:val="en-US" w:eastAsia="zh-CN"/>
        </w:rPr>
        <w:t>汕尾市城区</w:t>
      </w:r>
      <w:r>
        <w:rPr>
          <w:rFonts w:hint="eastAsia" w:ascii="仿宋_GB2312" w:hAnsi="仿宋_GB2312" w:eastAsia="仿宋_GB2312" w:cs="仿宋_GB2312"/>
          <w:sz w:val="32"/>
          <w:szCs w:val="32"/>
          <w:highlight w:val="none"/>
        </w:rPr>
        <w:t>内共涉及</w:t>
      </w:r>
      <w:r>
        <w:rPr>
          <w:rFonts w:hint="eastAsia" w:ascii="仿宋_GB2312" w:hAnsi="仿宋_GB2312" w:eastAsia="仿宋_GB2312" w:cs="仿宋_GB2312"/>
          <w:sz w:val="32"/>
          <w:szCs w:val="32"/>
          <w:highlight w:val="none"/>
          <w:lang w:val="en-US" w:eastAsia="zh-CN"/>
        </w:rPr>
        <w:t>6</w:t>
      </w:r>
      <w:r>
        <w:rPr>
          <w:rFonts w:hint="eastAsia" w:ascii="仿宋_GB2312" w:hAnsi="仿宋_GB2312" w:eastAsia="仿宋_GB2312" w:cs="仿宋_GB2312"/>
          <w:sz w:val="32"/>
          <w:szCs w:val="32"/>
          <w:highlight w:val="none"/>
        </w:rPr>
        <w:t>处饮用水水源保护区，</w:t>
      </w:r>
      <w:r>
        <w:rPr>
          <w:rFonts w:hint="eastAsia" w:ascii="仿宋_GB2312" w:hAnsi="仿宋_GB2312" w:eastAsia="仿宋_GB2312" w:cs="仿宋_GB2312"/>
          <w:sz w:val="32"/>
          <w:szCs w:val="32"/>
          <w:highlight w:val="none"/>
          <w:lang w:val="en-US" w:eastAsia="zh-CN"/>
        </w:rPr>
        <w:t>共包括3处市级饮用水水源保护区，分别为公平管渠－赤沙水库饮用水水源保护区、赤岭水库饮用水水源保护区和琉璃径水库饮用水水源保护区，1处县级饮用水水源保护区，为宝楼水库饮用水水源保护区，2处乡镇级饮用水水源保护区，分别为尖山水库乡镇级饮用水水源保护区和前进水库乡镇级饮用水水源保护区。</w:t>
      </w:r>
      <w:r>
        <w:rPr>
          <w:rFonts w:hint="eastAsia" w:ascii="仿宋_GB2312" w:hAnsi="仿宋_GB2312" w:eastAsia="仿宋_GB2312" w:cs="仿宋_GB2312"/>
          <w:sz w:val="32"/>
          <w:szCs w:val="32"/>
          <w:highlight w:val="none"/>
        </w:rPr>
        <w:t>其范围内的自然村应纳入优先治理的区域范围；</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黄江</w:t>
      </w:r>
      <w:r>
        <w:rPr>
          <w:rFonts w:hint="eastAsia" w:ascii="仿宋_GB2312" w:hAnsi="仿宋_GB2312" w:eastAsia="仿宋_GB2312" w:cs="仿宋_GB2312"/>
          <w:sz w:val="32"/>
          <w:szCs w:val="32"/>
          <w:highlight w:val="none"/>
        </w:rPr>
        <w:t>作为</w:t>
      </w:r>
      <w:r>
        <w:rPr>
          <w:rFonts w:hint="eastAsia" w:ascii="仿宋_GB2312" w:hAnsi="仿宋_GB2312" w:eastAsia="仿宋_GB2312" w:cs="仿宋_GB2312"/>
          <w:sz w:val="32"/>
          <w:szCs w:val="32"/>
          <w:highlight w:val="none"/>
          <w:lang w:val="en-US" w:eastAsia="zh-CN"/>
        </w:rPr>
        <w:t>流经城区的唯一一条市级河流</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品清湖作为是中国大陆第一大潟湖，</w:t>
      </w:r>
      <w:r>
        <w:rPr>
          <w:rFonts w:hint="eastAsia" w:ascii="仿宋_GB2312" w:hAnsi="仿宋_GB2312" w:eastAsia="仿宋_GB2312" w:cs="仿宋_GB2312"/>
          <w:sz w:val="32"/>
          <w:szCs w:val="32"/>
          <w:highlight w:val="none"/>
        </w:rPr>
        <w:t>其两岸水生态空间的保护也十分重要，本次规划将</w:t>
      </w:r>
      <w:r>
        <w:rPr>
          <w:rFonts w:hint="eastAsia" w:ascii="仿宋_GB2312" w:hAnsi="仿宋_GB2312" w:eastAsia="仿宋_GB2312" w:cs="仿宋_GB2312"/>
          <w:sz w:val="32"/>
          <w:szCs w:val="32"/>
          <w:highlight w:val="none"/>
          <w:lang w:val="en-US" w:eastAsia="zh-CN"/>
        </w:rPr>
        <w:t>黄江和品清湖两岸</w:t>
      </w:r>
      <w:r>
        <w:rPr>
          <w:rFonts w:hint="eastAsia" w:ascii="仿宋_GB2312" w:hAnsi="仿宋_GB2312" w:eastAsia="仿宋_GB2312" w:cs="仿宋_GB2312"/>
          <w:sz w:val="32"/>
          <w:szCs w:val="32"/>
          <w:highlight w:val="none"/>
        </w:rPr>
        <w:t>涉及的自然村也纳入优先治理的范围；</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综合分析</w:t>
      </w:r>
      <w:r>
        <w:rPr>
          <w:rFonts w:hint="eastAsia" w:ascii="仿宋_GB2312" w:hAnsi="仿宋_GB2312" w:eastAsia="仿宋_GB2312" w:cs="仿宋_GB2312"/>
          <w:sz w:val="32"/>
          <w:szCs w:val="32"/>
          <w:highlight w:val="none"/>
          <w:lang w:val="en-US" w:eastAsia="zh-CN"/>
        </w:rPr>
        <w:t>汕尾市城区</w:t>
      </w:r>
      <w:r>
        <w:rPr>
          <w:rFonts w:hint="eastAsia" w:ascii="仿宋_GB2312" w:hAnsi="仿宋_GB2312" w:eastAsia="仿宋_GB2312" w:cs="仿宋_GB2312"/>
          <w:sz w:val="32"/>
          <w:szCs w:val="32"/>
          <w:highlight w:val="none"/>
        </w:rPr>
        <w:t>旅游资源空间分布情况，全区范围重要风景名胜区主要包括</w:t>
      </w:r>
      <w:r>
        <w:rPr>
          <w:rFonts w:hint="eastAsia" w:ascii="仿宋_GB2312" w:hAnsi="仿宋_GB2312" w:eastAsia="仿宋_GB2312" w:cs="仿宋_GB2312"/>
          <w:sz w:val="32"/>
          <w:szCs w:val="32"/>
          <w:highlight w:val="none"/>
          <w:lang w:val="en-US" w:eastAsia="zh-CN"/>
        </w:rPr>
        <w:t>铜鼎山森林公园和凤山祖庙景区共两</w:t>
      </w:r>
      <w:r>
        <w:rPr>
          <w:rFonts w:hint="eastAsia" w:ascii="仿宋_GB2312" w:hAnsi="仿宋_GB2312" w:eastAsia="仿宋_GB2312" w:cs="仿宋_GB2312"/>
          <w:sz w:val="32"/>
          <w:szCs w:val="32"/>
          <w:highlight w:val="none"/>
        </w:rPr>
        <w:t>处风景区，均未涉及本次规划范围；</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美丽乡村风貌示范带作为乡村振兴战略落实的重要举措，其范围内的农村生活污水治理也不容忽视，</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目前共有</w:t>
      </w:r>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条风貌带建设规划，</w:t>
      </w:r>
      <w:r>
        <w:rPr>
          <w:rFonts w:hint="eastAsia" w:ascii="仿宋_GB2312" w:hAnsi="仿宋_GB2312" w:eastAsia="仿宋_GB2312" w:cs="仿宋_GB2312"/>
          <w:sz w:val="32"/>
          <w:szCs w:val="32"/>
          <w:highlight w:val="none"/>
          <w:lang w:val="en-US" w:eastAsia="zh-CN"/>
        </w:rPr>
        <w:t>分别为“蚝情万丈”景观示范带、“生态农旅”景观示范带、北线“黄江画卷·水乡风情”乡村振兴示范带和东线延伸段“花果原乡”乡村振兴示范带。</w:t>
      </w:r>
      <w:r>
        <w:rPr>
          <w:rFonts w:hint="eastAsia" w:ascii="仿宋_GB2312" w:hAnsi="仿宋_GB2312" w:eastAsia="仿宋_GB2312" w:cs="仿宋_GB2312"/>
          <w:sz w:val="32"/>
          <w:szCs w:val="32"/>
          <w:highlight w:val="none"/>
        </w:rPr>
        <w:t>其涉及的自然村也纳入本次规划治理的重点范围；</w:t>
      </w:r>
    </w:p>
    <w:p>
      <w:pPr>
        <w:pStyle w:val="2"/>
        <w:pageBreakBefore w:val="0"/>
        <w:widowControl w:val="0"/>
        <w:kinsoku/>
        <w:wordWrap/>
        <w:overflowPunct/>
        <w:topLinePunct w:val="0"/>
        <w:autoSpaceDE/>
        <w:autoSpaceDN/>
        <w:bidi w:val="0"/>
        <w:adjustRightInd/>
        <w:snapToGrid/>
        <w:spacing w:after="0"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根据广东省生态环境厅组织开展的全省农村黑臭水体排查结果，</w:t>
      </w:r>
      <w:r>
        <w:rPr>
          <w:rFonts w:hint="eastAsia" w:ascii="仿宋_GB2312" w:hAnsi="仿宋_GB2312" w:eastAsia="仿宋_GB2312" w:cs="仿宋_GB2312"/>
          <w:sz w:val="32"/>
          <w:szCs w:val="32"/>
          <w:highlight w:val="none"/>
          <w:lang w:val="en-US" w:eastAsia="zh-CN"/>
        </w:rPr>
        <w:t>汕尾市城区未排查出</w:t>
      </w:r>
      <w:r>
        <w:rPr>
          <w:rFonts w:hint="eastAsia" w:ascii="仿宋_GB2312" w:hAnsi="仿宋_GB2312" w:eastAsia="仿宋_GB2312" w:cs="仿宋_GB2312"/>
          <w:sz w:val="32"/>
          <w:szCs w:val="32"/>
          <w:highlight w:val="none"/>
        </w:rPr>
        <w:t>农村黑臭水体。</w:t>
      </w:r>
    </w:p>
    <w:p>
      <w:pPr>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bookmarkStart w:id="239" w:name="_Toc6645"/>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（1）涉及饮用水源保护区的村庄</w:t>
      </w:r>
      <w:bookmarkEnd w:id="239"/>
    </w:p>
    <w:p>
      <w:pPr>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城区共有饮用水水源保护区6个，其中乡镇级2个，县级及以上4个。根据现场调查，城区饮用水源保护区共涉及1个乡镇，2个行政村，5个自然村，均已建农村生活污水处理设施。详见下表。</w:t>
      </w:r>
    </w:p>
    <w:p>
      <w:pPr>
        <w:pStyle w:val="35"/>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rPr>
        <w:t>表4-</w:t>
      </w:r>
      <w:r>
        <w:rPr>
          <w:rFonts w:hint="eastAsia" w:ascii="仿宋_GB2312" w:hAnsi="仿宋_GB2312" w:eastAsia="仿宋_GB2312" w:cs="仿宋_GB2312"/>
          <w:b/>
          <w:bCs/>
          <w:sz w:val="32"/>
          <w:szCs w:val="32"/>
          <w:highlight w:val="none"/>
          <w:lang w:val="en-US" w:eastAsia="zh-CN"/>
        </w:rPr>
        <w:t>8</w:t>
      </w:r>
      <w:r>
        <w:rPr>
          <w:rFonts w:hint="eastAsia" w:ascii="仿宋_GB2312" w:hAnsi="仿宋_GB2312" w:eastAsia="仿宋_GB2312" w:cs="仿宋_GB2312"/>
          <w:b/>
          <w:bCs/>
          <w:sz w:val="32"/>
          <w:szCs w:val="32"/>
          <w:highlight w:val="none"/>
        </w:rPr>
        <w:t xml:space="preserve"> </w:t>
      </w:r>
      <w:r>
        <w:rPr>
          <w:rFonts w:hint="eastAsia" w:ascii="仿宋_GB2312" w:hAnsi="仿宋_GB2312" w:eastAsia="仿宋_GB2312" w:cs="仿宋_GB2312"/>
          <w:b/>
          <w:bCs/>
          <w:sz w:val="32"/>
          <w:szCs w:val="32"/>
          <w:highlight w:val="none"/>
          <w:lang w:val="en-US" w:eastAsia="zh-CN"/>
        </w:rPr>
        <w:t>城区</w:t>
      </w:r>
      <w:r>
        <w:rPr>
          <w:rFonts w:hint="eastAsia" w:ascii="仿宋_GB2312" w:hAnsi="仿宋_GB2312" w:eastAsia="仿宋_GB2312" w:cs="仿宋_GB2312"/>
          <w:b/>
          <w:bCs/>
          <w:sz w:val="32"/>
          <w:szCs w:val="32"/>
          <w:highlight w:val="none"/>
        </w:rPr>
        <w:t>饮用水水源保护区</w:t>
      </w:r>
      <w:r>
        <w:rPr>
          <w:rFonts w:hint="eastAsia" w:ascii="仿宋_GB2312" w:hAnsi="仿宋_GB2312" w:eastAsia="仿宋_GB2312" w:cs="仿宋_GB2312"/>
          <w:b/>
          <w:bCs/>
          <w:sz w:val="32"/>
          <w:szCs w:val="32"/>
          <w:highlight w:val="none"/>
          <w:lang w:val="en-US" w:eastAsia="zh-CN"/>
        </w:rPr>
        <w:t>涉及村庄农村生活污水</w:t>
      </w:r>
    </w:p>
    <w:p>
      <w:pPr>
        <w:pStyle w:val="35"/>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lang w:val="en-US" w:eastAsia="zh-CN"/>
        </w:rPr>
        <w:t>治理情况</w:t>
      </w:r>
      <w:r>
        <w:rPr>
          <w:rFonts w:hint="eastAsia" w:ascii="仿宋_GB2312" w:hAnsi="仿宋_GB2312" w:eastAsia="仿宋_GB2312" w:cs="仿宋_GB2312"/>
          <w:b/>
          <w:bCs/>
          <w:sz w:val="32"/>
          <w:szCs w:val="32"/>
          <w:highlight w:val="none"/>
        </w:rPr>
        <w:t>表</w:t>
      </w:r>
    </w:p>
    <w:p>
      <w:pPr>
        <w:pStyle w:val="35"/>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rPr>
      </w:pPr>
    </w:p>
    <w:tbl>
      <w:tblPr>
        <w:tblStyle w:val="20"/>
        <w:tblW w:w="5659" w:type="pct"/>
        <w:jc w:val="center"/>
        <w:shd w:val="clear" w:color="auto" w:fill="auto"/>
        <w:tblLayout w:type="fixed"/>
        <w:tblCellMar>
          <w:top w:w="0" w:type="dxa"/>
          <w:left w:w="28" w:type="dxa"/>
          <w:bottom w:w="0" w:type="dxa"/>
          <w:right w:w="28" w:type="dxa"/>
        </w:tblCellMar>
      </w:tblPr>
      <w:tblGrid>
        <w:gridCol w:w="425"/>
        <w:gridCol w:w="1806"/>
        <w:gridCol w:w="935"/>
        <w:gridCol w:w="1387"/>
        <w:gridCol w:w="974"/>
        <w:gridCol w:w="769"/>
        <w:gridCol w:w="1069"/>
        <w:gridCol w:w="1313"/>
        <w:gridCol w:w="787"/>
      </w:tblGrid>
      <w:tr>
        <w:tblPrEx>
          <w:tblCellMar>
            <w:top w:w="0" w:type="dxa"/>
            <w:left w:w="28" w:type="dxa"/>
            <w:bottom w:w="0" w:type="dxa"/>
            <w:right w:w="28" w:type="dxa"/>
          </w:tblCellMar>
        </w:tblPrEx>
        <w:trPr>
          <w:trHeight w:val="318" w:hRule="atLeast"/>
          <w:tblHeader/>
          <w:jc w:val="center"/>
        </w:trPr>
        <w:tc>
          <w:tcPr>
            <w:tcW w:w="224"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序号</w:t>
            </w:r>
          </w:p>
        </w:tc>
        <w:tc>
          <w:tcPr>
            <w:tcW w:w="954"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饮用水源保护区名称</w:t>
            </w:r>
          </w:p>
        </w:tc>
        <w:tc>
          <w:tcPr>
            <w:tcW w:w="493"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涉及镇（街道）</w:t>
            </w:r>
          </w:p>
        </w:tc>
        <w:tc>
          <w:tcPr>
            <w:tcW w:w="732"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涉及行政村</w:t>
            </w:r>
          </w:p>
        </w:tc>
        <w:tc>
          <w:tcPr>
            <w:tcW w:w="2594" w:type="pct"/>
            <w:gridSpan w:val="5"/>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涉及自然村数量</w:t>
            </w:r>
          </w:p>
        </w:tc>
      </w:tr>
      <w:tr>
        <w:tblPrEx>
          <w:tblCellMar>
            <w:top w:w="0" w:type="dxa"/>
            <w:left w:w="28" w:type="dxa"/>
            <w:bottom w:w="0" w:type="dxa"/>
            <w:right w:w="28" w:type="dxa"/>
          </w:tblCellMar>
        </w:tblPrEx>
        <w:trPr>
          <w:trHeight w:val="591" w:hRule="atLeast"/>
          <w:tblHeader/>
          <w:jc w:val="center"/>
        </w:trPr>
        <w:tc>
          <w:tcPr>
            <w:tcW w:w="224"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954" w:type="pct"/>
            <w:vMerge w:val="continue"/>
            <w:tcBorders>
              <w:top w:val="single" w:color="000000" w:sz="8" w:space="0"/>
              <w:left w:val="nil"/>
              <w:bottom w:val="single" w:color="000000" w:sz="8" w:space="0"/>
              <w:right w:val="single" w:color="000000" w:sz="8"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493" w:type="pct"/>
            <w:vMerge w:val="continue"/>
            <w:tcBorders>
              <w:top w:val="single" w:color="000000" w:sz="8" w:space="0"/>
              <w:left w:val="nil"/>
              <w:bottom w:val="single" w:color="000000" w:sz="8" w:space="0"/>
              <w:right w:val="single" w:color="000000" w:sz="8"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732" w:type="pct"/>
            <w:vMerge w:val="continue"/>
            <w:tcBorders>
              <w:top w:val="single" w:color="000000" w:sz="8" w:space="0"/>
              <w:left w:val="nil"/>
              <w:bottom w:val="single" w:color="000000" w:sz="8" w:space="0"/>
              <w:right w:val="single" w:color="000000" w:sz="8"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514"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已纳厂</w:t>
            </w:r>
          </w:p>
        </w:tc>
        <w:tc>
          <w:tcPr>
            <w:tcW w:w="40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已建设施</w:t>
            </w:r>
          </w:p>
        </w:tc>
        <w:tc>
          <w:tcPr>
            <w:tcW w:w="56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可资源化利用</w:t>
            </w:r>
          </w:p>
        </w:tc>
        <w:tc>
          <w:tcPr>
            <w:tcW w:w="693"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未开展治理</w:t>
            </w:r>
          </w:p>
        </w:tc>
        <w:tc>
          <w:tcPr>
            <w:tcW w:w="415"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总数</w:t>
            </w:r>
          </w:p>
        </w:tc>
      </w:tr>
      <w:tr>
        <w:tblPrEx>
          <w:tblCellMar>
            <w:top w:w="0" w:type="dxa"/>
            <w:left w:w="28" w:type="dxa"/>
            <w:bottom w:w="0" w:type="dxa"/>
            <w:right w:w="28" w:type="dxa"/>
          </w:tblCellMar>
        </w:tblPrEx>
        <w:trPr>
          <w:trHeight w:val="737" w:hRule="atLeast"/>
          <w:jc w:val="center"/>
        </w:trPr>
        <w:tc>
          <w:tcPr>
            <w:tcW w:w="22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w:t>
            </w:r>
          </w:p>
        </w:tc>
        <w:tc>
          <w:tcPr>
            <w:tcW w:w="954"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公平灌渠－赤沙水库饮用水水源保护区</w:t>
            </w:r>
          </w:p>
        </w:tc>
        <w:tc>
          <w:tcPr>
            <w:tcW w:w="493"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732"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东石村</w:t>
            </w:r>
          </w:p>
        </w:tc>
        <w:tc>
          <w:tcPr>
            <w:tcW w:w="514"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406"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w:t>
            </w:r>
          </w:p>
        </w:tc>
        <w:tc>
          <w:tcPr>
            <w:tcW w:w="564"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693"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15"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w:t>
            </w:r>
          </w:p>
        </w:tc>
      </w:tr>
      <w:tr>
        <w:tblPrEx>
          <w:tblCellMar>
            <w:top w:w="0" w:type="dxa"/>
            <w:left w:w="28" w:type="dxa"/>
            <w:bottom w:w="0" w:type="dxa"/>
            <w:right w:w="28" w:type="dxa"/>
          </w:tblCellMar>
        </w:tblPrEx>
        <w:trPr>
          <w:trHeight w:val="428" w:hRule="atLeast"/>
          <w:jc w:val="center"/>
        </w:trPr>
        <w:tc>
          <w:tcPr>
            <w:tcW w:w="224"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w:t>
            </w:r>
          </w:p>
        </w:tc>
        <w:tc>
          <w:tcPr>
            <w:tcW w:w="954"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宝楼水库饮用水水源保护区</w:t>
            </w:r>
          </w:p>
        </w:tc>
        <w:tc>
          <w:tcPr>
            <w:tcW w:w="493"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732" w:type="pct"/>
            <w:tcBorders>
              <w:top w:val="nil"/>
              <w:left w:val="nil"/>
              <w:bottom w:val="single" w:color="000000" w:sz="8" w:space="0"/>
              <w:right w:val="single" w:color="000000" w:sz="8"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宝楼村</w:t>
            </w:r>
          </w:p>
        </w:tc>
        <w:tc>
          <w:tcPr>
            <w:tcW w:w="514"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406"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564"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693"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15"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w:t>
            </w:r>
          </w:p>
        </w:tc>
      </w:tr>
      <w:tr>
        <w:tblPrEx>
          <w:tblCellMar>
            <w:top w:w="0" w:type="dxa"/>
            <w:left w:w="28" w:type="dxa"/>
            <w:bottom w:w="0" w:type="dxa"/>
            <w:right w:w="28" w:type="dxa"/>
          </w:tblCellMar>
        </w:tblPrEx>
        <w:trPr>
          <w:trHeight w:val="318" w:hRule="atLeast"/>
          <w:jc w:val="center"/>
        </w:trPr>
        <w:tc>
          <w:tcPr>
            <w:tcW w:w="224" w:type="pct"/>
            <w:tcBorders>
              <w:top w:val="nil"/>
              <w:left w:val="single" w:color="000000" w:sz="8" w:space="0"/>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w:t>
            </w:r>
          </w:p>
        </w:tc>
        <w:tc>
          <w:tcPr>
            <w:tcW w:w="2180" w:type="pct"/>
            <w:gridSpan w:val="3"/>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合计</w:t>
            </w:r>
          </w:p>
        </w:tc>
        <w:tc>
          <w:tcPr>
            <w:tcW w:w="514" w:type="pct"/>
            <w:tcBorders>
              <w:top w:val="nil"/>
              <w:left w:val="nil"/>
              <w:bottom w:val="single" w:color="000000" w:sz="8" w:space="0"/>
              <w:right w:val="single" w:color="000000" w:sz="8"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406"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c>
          <w:tcPr>
            <w:tcW w:w="564"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p>
        </w:tc>
        <w:tc>
          <w:tcPr>
            <w:tcW w:w="693"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15" w:type="pct"/>
            <w:tcBorders>
              <w:top w:val="nil"/>
              <w:left w:val="nil"/>
              <w:bottom w:val="single" w:color="000000" w:sz="8" w:space="0"/>
              <w:right w:val="single" w:color="000000" w:sz="8"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r>
    </w:tbl>
    <w:p>
      <w:pPr>
        <w:pStyle w:val="2"/>
        <w:ind w:left="0" w:leftChars="0" w:firstLine="0" w:firstLineChars="0"/>
      </w:pPr>
      <w:bookmarkStart w:id="240" w:name="_Toc2581"/>
      <w:bookmarkStart w:id="241" w:name="_Toc29425"/>
      <w:bookmarkStart w:id="242" w:name="_Toc13277"/>
    </w:p>
    <w:p>
      <w:pPr>
        <w:pStyle w:val="2"/>
        <w:ind w:left="0" w:leftChars="0" w:firstLine="0" w:firstLineChars="0"/>
      </w:pPr>
    </w:p>
    <w:p>
      <w:pPr>
        <w:pStyle w:val="2"/>
        <w:ind w:left="0" w:leftChars="0" w:firstLine="0" w:firstLineChars="0"/>
      </w:pPr>
    </w:p>
    <w:p>
      <w:pPr>
        <w:pStyle w:val="2"/>
        <w:ind w:left="0" w:leftChars="0" w:firstLine="0" w:firstLineChars="0"/>
      </w:pPr>
      <w:r>
        <w:drawing>
          <wp:inline distT="0" distB="0" distL="114300" distR="114300">
            <wp:extent cx="5269865" cy="3646170"/>
            <wp:effectExtent l="0" t="0" r="6985" b="11430"/>
            <wp:docPr id="17"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true"/>
                    </pic:cNvPicPr>
                  </pic:nvPicPr>
                  <pic:blipFill>
                    <a:blip r:embed="rId38"/>
                    <a:stretch>
                      <a:fillRect/>
                    </a:stretch>
                  </pic:blipFill>
                  <pic:spPr>
                    <a:xfrm>
                      <a:off x="0" y="0"/>
                      <a:ext cx="5269865" cy="364617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eastAsia" w:ascii="仿宋_GB2312" w:hAnsi="仿宋_GB2312" w:eastAsia="仿宋_GB2312" w:cs="仿宋_GB2312"/>
          <w:kern w:val="2"/>
          <w:sz w:val="32"/>
          <w:szCs w:val="32"/>
          <w:highlight w:val="none"/>
          <w:lang w:val="en-US" w:eastAsia="zh-CN"/>
        </w:rPr>
      </w:pPr>
      <w:r>
        <w:rPr>
          <w:rFonts w:hint="eastAsia" w:ascii="仿宋_GB2312" w:hAnsi="仿宋_GB2312" w:eastAsia="仿宋_GB2312" w:cs="仿宋_GB2312"/>
          <w:kern w:val="2"/>
          <w:sz w:val="32"/>
          <w:szCs w:val="32"/>
          <w:highlight w:val="none"/>
          <w:lang w:val="en-US" w:eastAsia="zh-CN"/>
        </w:rPr>
        <w:t>图4-12 宝楼水库饮用水水源保护区</w:t>
      </w:r>
    </w:p>
    <w:p>
      <w:r>
        <w:drawing>
          <wp:inline distT="0" distB="0" distL="114300" distR="114300">
            <wp:extent cx="5271770" cy="4190365"/>
            <wp:effectExtent l="0" t="0" r="5080" b="635"/>
            <wp:docPr id="1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true"/>
                    </pic:cNvPicPr>
                  </pic:nvPicPr>
                  <pic:blipFill>
                    <a:blip r:embed="rId39"/>
                    <a:stretch>
                      <a:fillRect/>
                    </a:stretch>
                  </pic:blipFill>
                  <pic:spPr>
                    <a:xfrm>
                      <a:off x="0" y="0"/>
                      <a:ext cx="5271770" cy="4190365"/>
                    </a:xfrm>
                    <a:prstGeom prst="rect">
                      <a:avLst/>
                    </a:prstGeom>
                    <a:noFill/>
                    <a:ln>
                      <a:noFill/>
                    </a:ln>
                  </pic:spPr>
                </pic:pic>
              </a:graphicData>
            </a:graphic>
          </wp:inline>
        </w:drawing>
      </w:r>
    </w:p>
    <w:p>
      <w:pPr>
        <w:pStyle w:val="2"/>
        <w:spacing w:after="305" w:afterLines="50" w:line="240" w:lineRule="auto"/>
        <w:ind w:left="0" w:leftChars="0" w:right="0" w:rightChars="0" w:firstLine="0" w:firstLineChars="0"/>
        <w:jc w:val="center"/>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kern w:val="2"/>
          <w:sz w:val="32"/>
          <w:szCs w:val="32"/>
          <w:highlight w:val="none"/>
          <w:lang w:val="en-US" w:eastAsia="zh-CN"/>
        </w:rPr>
        <w:t>图4-13 公平灌渠－赤沙水库饮用水水源保护区</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（2）重要河流沿岸</w:t>
      </w:r>
      <w:bookmarkEnd w:id="240"/>
      <w:bookmarkEnd w:id="241"/>
      <w:bookmarkEnd w:id="242"/>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color w:val="000000"/>
          <w:kern w:val="0"/>
          <w:sz w:val="32"/>
          <w:szCs w:val="32"/>
          <w:highlight w:val="none"/>
          <w:lang w:val="en-US" w:eastAsia="zh-CN" w:bidi="ar"/>
        </w:rPr>
        <w:t>黄江和品清湖作为汕尾市城区重要的功能水体，经过城区红草镇、马宫街道、东涌镇、凤山街道和新港街道，</w:t>
      </w:r>
      <w:r>
        <w:rPr>
          <w:rFonts w:hint="eastAsia" w:ascii="仿宋_GB2312" w:hAnsi="仿宋_GB2312" w:eastAsia="仿宋_GB2312" w:cs="仿宋_GB2312"/>
          <w:sz w:val="32"/>
          <w:szCs w:val="32"/>
          <w:highlight w:val="none"/>
        </w:rPr>
        <w:t>作为</w:t>
      </w:r>
      <w:r>
        <w:rPr>
          <w:rFonts w:hint="eastAsia" w:ascii="仿宋_GB2312" w:hAnsi="仿宋_GB2312" w:eastAsia="仿宋_GB2312" w:cs="仿宋_GB2312"/>
          <w:sz w:val="32"/>
          <w:szCs w:val="32"/>
          <w:highlight w:val="none"/>
          <w:lang w:val="en-US" w:eastAsia="zh-CN"/>
        </w:rPr>
        <w:t>全市</w:t>
      </w:r>
      <w:r>
        <w:rPr>
          <w:rFonts w:hint="eastAsia" w:ascii="仿宋_GB2312" w:hAnsi="仿宋_GB2312" w:eastAsia="仿宋_GB2312" w:cs="仿宋_GB2312"/>
          <w:sz w:val="32"/>
          <w:szCs w:val="32"/>
          <w:highlight w:val="none"/>
        </w:rPr>
        <w:t>最重要的水资源，其沿岸及周边的村庄生活污水也应考虑优先治理，减少因生活污水排放带来的水质恶化风险。</w:t>
      </w:r>
      <w:r>
        <w:rPr>
          <w:rFonts w:hint="eastAsia" w:ascii="仿宋_GB2312" w:hAnsi="仿宋_GB2312" w:eastAsia="仿宋_GB2312" w:cs="仿宋_GB2312"/>
          <w:sz w:val="32"/>
          <w:szCs w:val="32"/>
          <w:highlight w:val="none"/>
          <w:lang w:val="en-US" w:eastAsia="zh-CN"/>
        </w:rPr>
        <w:t>这2个水体共涉及5个镇街，21个行政村，50个自然村，其中已纳入城镇污水处理厂的自然村有10个，已完成建设农村生活污水处理设施的自然村有29个，可资源化利用的自然村有1个，未开展治理的自然村有10个。详见下表。</w:t>
      </w:r>
    </w:p>
    <w:p>
      <w:pPr>
        <w:pStyle w:val="35"/>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b/>
          <w:bCs/>
          <w:w w:val="99"/>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b/>
          <w:bCs/>
          <w:w w:val="99"/>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b/>
          <w:bCs/>
          <w:w w:val="99"/>
          <w:sz w:val="32"/>
          <w:szCs w:val="32"/>
          <w:highlight w:val="none"/>
        </w:rPr>
      </w:pPr>
    </w:p>
    <w:p>
      <w:pPr>
        <w:pStyle w:val="35"/>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b/>
          <w:bCs/>
          <w:w w:val="99"/>
          <w:sz w:val="32"/>
          <w:szCs w:val="32"/>
          <w:highlight w:val="none"/>
        </w:rPr>
      </w:pPr>
      <w:r>
        <w:rPr>
          <w:rFonts w:hint="eastAsia" w:ascii="仿宋_GB2312" w:hAnsi="仿宋_GB2312" w:eastAsia="仿宋_GB2312" w:cs="仿宋_GB2312"/>
          <w:b/>
          <w:bCs/>
          <w:w w:val="99"/>
          <w:sz w:val="32"/>
          <w:szCs w:val="32"/>
          <w:highlight w:val="none"/>
        </w:rPr>
        <w:t>表4-</w:t>
      </w:r>
      <w:r>
        <w:rPr>
          <w:rFonts w:hint="eastAsia" w:ascii="仿宋_GB2312" w:hAnsi="仿宋_GB2312" w:eastAsia="仿宋_GB2312" w:cs="仿宋_GB2312"/>
          <w:b/>
          <w:bCs/>
          <w:w w:val="99"/>
          <w:sz w:val="32"/>
          <w:szCs w:val="32"/>
          <w:highlight w:val="none"/>
          <w:lang w:val="en-US" w:eastAsia="zh-CN"/>
        </w:rPr>
        <w:t>9</w:t>
      </w:r>
      <w:r>
        <w:rPr>
          <w:rFonts w:hint="eastAsia" w:ascii="仿宋_GB2312" w:hAnsi="仿宋_GB2312" w:eastAsia="仿宋_GB2312" w:cs="仿宋_GB2312"/>
          <w:b/>
          <w:bCs/>
          <w:w w:val="99"/>
          <w:sz w:val="32"/>
          <w:szCs w:val="32"/>
          <w:highlight w:val="none"/>
        </w:rPr>
        <w:t xml:space="preserve"> </w:t>
      </w:r>
      <w:r>
        <w:rPr>
          <w:rFonts w:hint="eastAsia" w:ascii="仿宋_GB2312" w:hAnsi="仿宋_GB2312" w:eastAsia="仿宋_GB2312" w:cs="仿宋_GB2312"/>
          <w:b/>
          <w:bCs/>
          <w:w w:val="99"/>
          <w:sz w:val="32"/>
          <w:szCs w:val="32"/>
          <w:highlight w:val="none"/>
          <w:lang w:val="en-US" w:eastAsia="zh-CN"/>
        </w:rPr>
        <w:t>城区重要河流沿岸涉及村庄农村生活污水治理情况</w:t>
      </w:r>
      <w:r>
        <w:rPr>
          <w:rFonts w:hint="eastAsia" w:ascii="仿宋_GB2312" w:hAnsi="仿宋_GB2312" w:eastAsia="仿宋_GB2312" w:cs="仿宋_GB2312"/>
          <w:b/>
          <w:bCs/>
          <w:w w:val="99"/>
          <w:sz w:val="32"/>
          <w:szCs w:val="32"/>
          <w:highlight w:val="none"/>
        </w:rPr>
        <w:t>表</w:t>
      </w:r>
    </w:p>
    <w:p>
      <w:pPr>
        <w:pStyle w:val="35"/>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b/>
          <w:bCs/>
          <w:w w:val="99"/>
          <w:sz w:val="32"/>
          <w:szCs w:val="32"/>
          <w:highlight w:val="none"/>
        </w:rPr>
      </w:pPr>
    </w:p>
    <w:tbl>
      <w:tblPr>
        <w:tblStyle w:val="20"/>
        <w:tblW w:w="56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425"/>
        <w:gridCol w:w="1637"/>
        <w:gridCol w:w="1103"/>
        <w:gridCol w:w="1388"/>
        <w:gridCol w:w="974"/>
        <w:gridCol w:w="769"/>
        <w:gridCol w:w="1069"/>
        <w:gridCol w:w="1313"/>
        <w:gridCol w:w="7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318" w:hRule="atLeast"/>
          <w:tblHeader/>
          <w:jc w:val="center"/>
        </w:trPr>
        <w:tc>
          <w:tcPr>
            <w:tcW w:w="224"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序号</w:t>
            </w:r>
          </w:p>
        </w:tc>
        <w:tc>
          <w:tcPr>
            <w:tcW w:w="865"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lang w:val="en-US" w:eastAsia="zh-CN"/>
              </w:rPr>
            </w:pPr>
            <w:r>
              <w:rPr>
                <w:rFonts w:hint="eastAsia" w:ascii="仿宋_GB2312" w:hAnsi="仿宋_GB2312" w:eastAsia="仿宋_GB2312" w:cs="仿宋_GB2312"/>
                <w:b/>
                <w:bCs/>
                <w:i w:val="0"/>
                <w:iCs w:val="0"/>
                <w:color w:val="000000"/>
                <w:sz w:val="21"/>
                <w:szCs w:val="21"/>
                <w:highlight w:val="none"/>
                <w:u w:val="none"/>
                <w:lang w:val="en-US" w:eastAsia="zh-CN"/>
              </w:rPr>
              <w:t>重要功能水体</w:t>
            </w:r>
          </w:p>
        </w:tc>
        <w:tc>
          <w:tcPr>
            <w:tcW w:w="582"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涉及镇（街道）</w:t>
            </w:r>
          </w:p>
        </w:tc>
        <w:tc>
          <w:tcPr>
            <w:tcW w:w="732"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涉及行政村</w:t>
            </w:r>
          </w:p>
        </w:tc>
        <w:tc>
          <w:tcPr>
            <w:tcW w:w="2594" w:type="pct"/>
            <w:gridSpan w:val="5"/>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涉及自然村数量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591" w:hRule="atLeast"/>
          <w:tblHeader/>
          <w:jc w:val="center"/>
        </w:trPr>
        <w:tc>
          <w:tcPr>
            <w:tcW w:w="224"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865"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582"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732"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51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已纳厂</w:t>
            </w:r>
          </w:p>
        </w:tc>
        <w:tc>
          <w:tcPr>
            <w:tcW w:w="406"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已建设施</w:t>
            </w:r>
          </w:p>
        </w:tc>
        <w:tc>
          <w:tcPr>
            <w:tcW w:w="56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可资源化利用</w:t>
            </w:r>
          </w:p>
        </w:tc>
        <w:tc>
          <w:tcPr>
            <w:tcW w:w="69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未开展治理</w:t>
            </w:r>
          </w:p>
        </w:tc>
        <w:tc>
          <w:tcPr>
            <w:tcW w:w="415"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567" w:hRule="atLeast"/>
          <w:jc w:val="center"/>
        </w:trPr>
        <w:tc>
          <w:tcPr>
            <w:tcW w:w="224"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w:t>
            </w:r>
          </w:p>
        </w:tc>
        <w:tc>
          <w:tcPr>
            <w:tcW w:w="865"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黄江</w:t>
            </w:r>
          </w:p>
        </w:tc>
        <w:tc>
          <w:tcPr>
            <w:tcW w:w="58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红草镇</w:t>
            </w:r>
          </w:p>
        </w:tc>
        <w:tc>
          <w:tcPr>
            <w:tcW w:w="732"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辰州村、海梧村、径口村、三和村、梧围村、新村、亚洲村</w:t>
            </w:r>
          </w:p>
        </w:tc>
        <w:tc>
          <w:tcPr>
            <w:tcW w:w="514"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40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14</w:t>
            </w:r>
          </w:p>
        </w:tc>
        <w:tc>
          <w:tcPr>
            <w:tcW w:w="564"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425" w:hRule="atLeast"/>
          <w:jc w:val="center"/>
        </w:trPr>
        <w:tc>
          <w:tcPr>
            <w:tcW w:w="224"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86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58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马宫街道</w:t>
            </w:r>
          </w:p>
        </w:tc>
        <w:tc>
          <w:tcPr>
            <w:tcW w:w="732"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长沙村</w:t>
            </w:r>
          </w:p>
        </w:tc>
        <w:tc>
          <w:tcPr>
            <w:tcW w:w="51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0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5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141" w:hRule="atLeast"/>
          <w:jc w:val="center"/>
        </w:trPr>
        <w:tc>
          <w:tcPr>
            <w:tcW w:w="224"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w:t>
            </w:r>
          </w:p>
        </w:tc>
        <w:tc>
          <w:tcPr>
            <w:tcW w:w="865"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品清湖</w:t>
            </w:r>
          </w:p>
        </w:tc>
        <w:tc>
          <w:tcPr>
            <w:tcW w:w="58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东涌镇</w:t>
            </w:r>
          </w:p>
        </w:tc>
        <w:tc>
          <w:tcPr>
            <w:tcW w:w="732"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民进村、民群村、新安村、石洲村、洪流村、赤古村、东涌村、品清村、新地村</w:t>
            </w:r>
          </w:p>
        </w:tc>
        <w:tc>
          <w:tcPr>
            <w:tcW w:w="514"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06"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11</w:t>
            </w:r>
          </w:p>
        </w:tc>
        <w:tc>
          <w:tcPr>
            <w:tcW w:w="564"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141" w:hRule="atLeast"/>
          <w:jc w:val="center"/>
        </w:trPr>
        <w:tc>
          <w:tcPr>
            <w:tcW w:w="224"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86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58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凤山街道</w:t>
            </w:r>
          </w:p>
        </w:tc>
        <w:tc>
          <w:tcPr>
            <w:tcW w:w="732"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小岛渔业村</w:t>
            </w:r>
          </w:p>
        </w:tc>
        <w:tc>
          <w:tcPr>
            <w:tcW w:w="51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0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5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141" w:hRule="atLeast"/>
          <w:jc w:val="center"/>
        </w:trPr>
        <w:tc>
          <w:tcPr>
            <w:tcW w:w="224"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86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58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新港街道</w:t>
            </w:r>
          </w:p>
        </w:tc>
        <w:tc>
          <w:tcPr>
            <w:tcW w:w="732"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sz w:val="21"/>
                <w:szCs w:val="21"/>
                <w:highlight w:val="none"/>
                <w:u w:val="none"/>
              </w:rPr>
              <w:t>东风渔业村</w:t>
            </w:r>
            <w:r>
              <w:rPr>
                <w:rFonts w:hint="eastAsia" w:ascii="仿宋_GB2312" w:hAnsi="仿宋_GB2312" w:eastAsia="仿宋_GB2312" w:cs="仿宋_GB2312"/>
                <w:i w:val="0"/>
                <w:iCs w:val="0"/>
                <w:color w:val="000000"/>
                <w:sz w:val="21"/>
                <w:szCs w:val="21"/>
                <w:highlight w:val="none"/>
                <w:u w:val="none"/>
                <w:lang w:val="en-US" w:eastAsia="zh-CN"/>
              </w:rPr>
              <w:t>、</w:t>
            </w:r>
            <w:r>
              <w:rPr>
                <w:rFonts w:hint="eastAsia" w:ascii="仿宋_GB2312" w:hAnsi="仿宋_GB2312" w:eastAsia="仿宋_GB2312" w:cs="仿宋_GB2312"/>
                <w:i w:val="0"/>
                <w:iCs w:val="0"/>
                <w:color w:val="000000"/>
                <w:sz w:val="21"/>
                <w:szCs w:val="21"/>
                <w:highlight w:val="none"/>
                <w:u w:val="none"/>
              </w:rPr>
              <w:t>前进渔业村</w:t>
            </w:r>
            <w:r>
              <w:rPr>
                <w:rFonts w:hint="eastAsia" w:ascii="仿宋_GB2312" w:hAnsi="仿宋_GB2312" w:eastAsia="仿宋_GB2312" w:cs="仿宋_GB2312"/>
                <w:i w:val="0"/>
                <w:iCs w:val="0"/>
                <w:color w:val="000000"/>
                <w:sz w:val="21"/>
                <w:szCs w:val="21"/>
                <w:highlight w:val="none"/>
                <w:u w:val="none"/>
                <w:lang w:val="en-US" w:eastAsia="zh-CN"/>
              </w:rPr>
              <w:t>、</w:t>
            </w:r>
            <w:r>
              <w:rPr>
                <w:rFonts w:hint="eastAsia" w:ascii="仿宋_GB2312" w:hAnsi="仿宋_GB2312" w:eastAsia="仿宋_GB2312" w:cs="仿宋_GB2312"/>
                <w:i w:val="0"/>
                <w:iCs w:val="0"/>
                <w:color w:val="000000"/>
                <w:sz w:val="21"/>
                <w:szCs w:val="21"/>
                <w:highlight w:val="none"/>
                <w:u w:val="none"/>
              </w:rPr>
              <w:t>红卫渔业村</w:t>
            </w:r>
          </w:p>
        </w:tc>
        <w:tc>
          <w:tcPr>
            <w:tcW w:w="51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40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5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28" w:type="dxa"/>
            <w:bottom w:w="0" w:type="dxa"/>
            <w:right w:w="28" w:type="dxa"/>
          </w:tblCellMar>
        </w:tblPrEx>
        <w:trPr>
          <w:trHeight w:val="318" w:hRule="atLeast"/>
          <w:jc w:val="center"/>
        </w:trPr>
        <w:tc>
          <w:tcPr>
            <w:tcW w:w="22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w:t>
            </w:r>
          </w:p>
        </w:tc>
        <w:tc>
          <w:tcPr>
            <w:tcW w:w="2180" w:type="pct"/>
            <w:gridSpan w:val="3"/>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合计</w:t>
            </w:r>
          </w:p>
        </w:tc>
        <w:tc>
          <w:tcPr>
            <w:tcW w:w="514"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w:t>
            </w:r>
          </w:p>
        </w:tc>
        <w:tc>
          <w:tcPr>
            <w:tcW w:w="40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29</w:t>
            </w:r>
          </w:p>
        </w:tc>
        <w:tc>
          <w:tcPr>
            <w:tcW w:w="5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6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w:t>
            </w:r>
          </w:p>
        </w:tc>
        <w:tc>
          <w:tcPr>
            <w:tcW w:w="41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50</w:t>
            </w:r>
          </w:p>
        </w:tc>
      </w:tr>
    </w:tbl>
    <w:p>
      <w:pPr>
        <w:pStyle w:val="2"/>
        <w:ind w:left="0" w:leftChars="0" w:firstLine="0" w:firstLineChars="0"/>
      </w:pPr>
      <w:bookmarkStart w:id="243" w:name="_Toc13393"/>
    </w:p>
    <w:p>
      <w:pPr>
        <w:pStyle w:val="2"/>
        <w:ind w:left="0" w:leftChars="0" w:firstLine="0" w:firstLineChars="0"/>
      </w:pPr>
    </w:p>
    <w:p>
      <w:pPr>
        <w:pStyle w:val="2"/>
        <w:ind w:left="0" w:leftChars="0" w:firstLine="0" w:firstLineChars="0"/>
      </w:pPr>
      <w:r>
        <w:drawing>
          <wp:inline distT="0" distB="0" distL="114300" distR="114300">
            <wp:extent cx="5267960" cy="3074035"/>
            <wp:effectExtent l="0" t="0" r="8890" b="12065"/>
            <wp:docPr id="23"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true"/>
                    </pic:cNvPicPr>
                  </pic:nvPicPr>
                  <pic:blipFill>
                    <a:blip r:embed="rId40"/>
                    <a:stretch>
                      <a:fillRect/>
                    </a:stretch>
                  </pic:blipFill>
                  <pic:spPr>
                    <a:xfrm>
                      <a:off x="0" y="0"/>
                      <a:ext cx="5267960" cy="3074035"/>
                    </a:xfrm>
                    <a:prstGeom prst="rect">
                      <a:avLst/>
                    </a:prstGeom>
                    <a:noFill/>
                    <a:ln>
                      <a:noFill/>
                    </a:ln>
                  </pic:spPr>
                </pic:pic>
              </a:graphicData>
            </a:graphic>
          </wp:inline>
        </w:drawing>
      </w:r>
    </w:p>
    <w:p>
      <w:pPr>
        <w:pStyle w:val="2"/>
        <w:spacing w:after="305" w:afterLines="50" w:line="240" w:lineRule="auto"/>
        <w:ind w:left="0" w:leftChars="0" w:right="0" w:rightChars="0" w:firstLine="0" w:firstLineChars="0"/>
        <w:jc w:val="center"/>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kern w:val="2"/>
          <w:sz w:val="32"/>
          <w:szCs w:val="32"/>
          <w:highlight w:val="none"/>
          <w:lang w:val="en-US" w:eastAsia="zh-CN"/>
        </w:rPr>
        <w:t>图4-13 品清湖周边村庄行政区划图</w:t>
      </w:r>
    </w:p>
    <w:p>
      <w:pPr>
        <w:rPr>
          <w:rFonts w:hint="eastAsia"/>
          <w:lang w:val="en-US" w:eastAsia="zh-CN"/>
        </w:rPr>
      </w:pPr>
    </w:p>
    <w:p>
      <w:pPr>
        <w:pStyle w:val="2"/>
        <w:ind w:left="0" w:leftChars="0" w:firstLine="0" w:firstLineChars="0"/>
      </w:pPr>
      <w:r>
        <w:drawing>
          <wp:inline distT="0" distB="0" distL="114300" distR="114300">
            <wp:extent cx="5271135" cy="7449820"/>
            <wp:effectExtent l="0" t="0" r="5715" b="17780"/>
            <wp:docPr id="21"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true"/>
                    </pic:cNvPicPr>
                  </pic:nvPicPr>
                  <pic:blipFill>
                    <a:blip r:embed="rId41"/>
                    <a:stretch>
                      <a:fillRect/>
                    </a:stretch>
                  </pic:blipFill>
                  <pic:spPr>
                    <a:xfrm>
                      <a:off x="0" y="0"/>
                      <a:ext cx="5271135" cy="744982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right="0" w:rightChars="0" w:firstLine="643" w:firstLineChars="200"/>
        <w:jc w:val="center"/>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kern w:val="2"/>
          <w:sz w:val="32"/>
          <w:szCs w:val="32"/>
          <w:highlight w:val="none"/>
          <w:lang w:val="en-US" w:eastAsia="zh-CN"/>
        </w:rPr>
        <w:t>图4-14 黄江流域行政区划图</w:t>
      </w: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（3）人口规模大且居住集中的村庄</w:t>
      </w:r>
      <w:bookmarkEnd w:id="243"/>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结合汕尾市城区实际和现场调查情况，将人口规模大于等于1000人的规模村庄也纳入重点区域范围。全区共有人口规模大于等于1000人的自然村19个（自然村），共涉及6个镇街，17个行政村，其中已纳入城镇污水处理厂的有10个，已完成建设农村生活污水处理设施的有8个，另有1个自然村未开展治理。详见下表。</w:t>
      </w:r>
    </w:p>
    <w:p>
      <w:pPr>
        <w:pStyle w:val="35"/>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表4-10 城区人口规模集中村庄生活污水治理情况一览表</w:t>
      </w:r>
    </w:p>
    <w:tbl>
      <w:tblPr>
        <w:tblStyle w:val="20"/>
        <w:tblW w:w="8791" w:type="dxa"/>
        <w:jc w:val="center"/>
        <w:shd w:val="clear" w:color="auto" w:fill="auto"/>
        <w:tblLayout w:type="autofit"/>
        <w:tblCellMar>
          <w:top w:w="0" w:type="dxa"/>
          <w:left w:w="28" w:type="dxa"/>
          <w:bottom w:w="0" w:type="dxa"/>
          <w:right w:w="28" w:type="dxa"/>
        </w:tblCellMar>
      </w:tblPr>
      <w:tblGrid>
        <w:gridCol w:w="625"/>
        <w:gridCol w:w="1221"/>
        <w:gridCol w:w="2670"/>
        <w:gridCol w:w="956"/>
        <w:gridCol w:w="1091"/>
        <w:gridCol w:w="1500"/>
        <w:gridCol w:w="728"/>
      </w:tblGrid>
      <w:tr>
        <w:tblPrEx>
          <w:tblCellMar>
            <w:top w:w="0" w:type="dxa"/>
            <w:left w:w="28" w:type="dxa"/>
            <w:bottom w:w="0" w:type="dxa"/>
            <w:right w:w="28" w:type="dxa"/>
          </w:tblCellMar>
        </w:tblPrEx>
        <w:trPr>
          <w:trHeight w:val="333" w:hRule="atLeast"/>
          <w:jc w:val="center"/>
        </w:trPr>
        <w:tc>
          <w:tcPr>
            <w:tcW w:w="6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编号</w:t>
            </w:r>
          </w:p>
        </w:tc>
        <w:tc>
          <w:tcPr>
            <w:tcW w:w="12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镇（街道）</w:t>
            </w:r>
          </w:p>
        </w:tc>
        <w:tc>
          <w:tcPr>
            <w:tcW w:w="267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行政村</w:t>
            </w:r>
          </w:p>
        </w:tc>
        <w:tc>
          <w:tcPr>
            <w:tcW w:w="4275"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自然村</w:t>
            </w:r>
          </w:p>
        </w:tc>
      </w:tr>
      <w:tr>
        <w:tblPrEx>
          <w:tblCellMar>
            <w:top w:w="0" w:type="dxa"/>
            <w:left w:w="28" w:type="dxa"/>
            <w:bottom w:w="0" w:type="dxa"/>
            <w:right w:w="28" w:type="dxa"/>
          </w:tblCellMar>
        </w:tblPrEx>
        <w:trPr>
          <w:trHeight w:val="591" w:hRule="atLeast"/>
          <w:jc w:val="center"/>
        </w:trPr>
        <w:tc>
          <w:tcPr>
            <w:tcW w:w="6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12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267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已纳厂</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已建设施</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未开展治理</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总计</w:t>
            </w:r>
          </w:p>
        </w:tc>
      </w:tr>
      <w:tr>
        <w:tblPrEx>
          <w:tblCellMar>
            <w:top w:w="0" w:type="dxa"/>
            <w:left w:w="28" w:type="dxa"/>
            <w:bottom w:w="0" w:type="dxa"/>
            <w:right w:w="28" w:type="dxa"/>
          </w:tblCellMar>
        </w:tblPrEx>
        <w:trPr>
          <w:trHeight w:val="90"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东涌镇</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新安村、新民村、龙溪村、东涌村、品清村、新地村、赤古村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r>
      <w:tr>
        <w:tblPrEx>
          <w:tblCellMar>
            <w:top w:w="0" w:type="dxa"/>
            <w:left w:w="28" w:type="dxa"/>
            <w:bottom w:w="0" w:type="dxa"/>
            <w:right w:w="28" w:type="dxa"/>
          </w:tblCellMar>
        </w:tblPrEx>
        <w:trPr>
          <w:trHeight w:val="318"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红草镇</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拾和村、南汾村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r>
      <w:tr>
        <w:tblPrEx>
          <w:tblCellMar>
            <w:top w:w="0" w:type="dxa"/>
            <w:left w:w="28" w:type="dxa"/>
            <w:bottom w:w="0" w:type="dxa"/>
            <w:right w:w="28" w:type="dxa"/>
          </w:tblCellMar>
        </w:tblPrEx>
        <w:trPr>
          <w:trHeight w:val="318"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捷胜镇</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联安村、大流村、埔尾村、军船头村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r>
      <w:tr>
        <w:tblPrEx>
          <w:tblCellMar>
            <w:top w:w="0" w:type="dxa"/>
            <w:left w:w="28" w:type="dxa"/>
            <w:bottom w:w="0" w:type="dxa"/>
            <w:right w:w="28" w:type="dxa"/>
          </w:tblCellMar>
        </w:tblPrEx>
        <w:trPr>
          <w:trHeight w:val="318"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马宫街道</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深渔村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r>
      <w:tr>
        <w:tblPrEx>
          <w:tblCellMar>
            <w:top w:w="0" w:type="dxa"/>
            <w:left w:w="28" w:type="dxa"/>
            <w:bottom w:w="0" w:type="dxa"/>
            <w:right w:w="28" w:type="dxa"/>
          </w:tblCellMar>
        </w:tblPrEx>
        <w:trPr>
          <w:trHeight w:val="318"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6</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香洲街道</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梧桐村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r>
      <w:tr>
        <w:tblPrEx>
          <w:tblCellMar>
            <w:top w:w="0" w:type="dxa"/>
            <w:left w:w="28" w:type="dxa"/>
            <w:bottom w:w="0" w:type="dxa"/>
            <w:right w:w="28" w:type="dxa"/>
          </w:tblCellMar>
        </w:tblPrEx>
        <w:trPr>
          <w:trHeight w:val="318"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7</w:t>
            </w:r>
          </w:p>
        </w:tc>
        <w:tc>
          <w:tcPr>
            <w:tcW w:w="12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新港街道</w:t>
            </w:r>
          </w:p>
        </w:tc>
        <w:tc>
          <w:tcPr>
            <w:tcW w:w="26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东风渔业村、前进渔业村</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r>
      <w:tr>
        <w:tblPrEx>
          <w:tblCellMar>
            <w:top w:w="0" w:type="dxa"/>
            <w:left w:w="28" w:type="dxa"/>
            <w:bottom w:w="0" w:type="dxa"/>
            <w:right w:w="28" w:type="dxa"/>
          </w:tblCellMar>
        </w:tblPrEx>
        <w:trPr>
          <w:trHeight w:val="333" w:hRule="atLeast"/>
          <w:jc w:val="center"/>
        </w:trPr>
        <w:tc>
          <w:tcPr>
            <w:tcW w:w="6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20</w:t>
            </w:r>
          </w:p>
        </w:tc>
        <w:tc>
          <w:tcPr>
            <w:tcW w:w="3891"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合计</w:t>
            </w:r>
          </w:p>
        </w:tc>
        <w:tc>
          <w:tcPr>
            <w:tcW w:w="9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w:t>
            </w:r>
          </w:p>
        </w:tc>
        <w:tc>
          <w:tcPr>
            <w:tcW w:w="109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c>
          <w:tcPr>
            <w:tcW w:w="15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72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19</w:t>
            </w:r>
          </w:p>
        </w:tc>
      </w:tr>
    </w:tbl>
    <w:p>
      <w:pPr>
        <w:keepNext w:val="0"/>
        <w:keepLines w:val="0"/>
        <w:pageBreakBefore w:val="0"/>
        <w:widowControl w:val="0"/>
        <w:kinsoku/>
        <w:wordWrap/>
        <w:overflowPunct/>
        <w:topLinePunct w:val="0"/>
        <w:autoSpaceDE/>
        <w:autoSpaceDN/>
        <w:bidi w:val="0"/>
        <w:adjustRightInd/>
        <w:snapToGrid/>
        <w:spacing w:line="52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bookmarkStart w:id="244" w:name="_Toc6752"/>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（4）乡村振兴美丽景观示范带</w:t>
      </w:r>
      <w:bookmarkEnd w:id="244"/>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根据汕尾市城区乡村振兴示范带建设相关资料可知，全区共规划建设4条美丽乡村景观示范带，分别为：</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①“蚝情万丈”景观示范带。沿线经过红草镇辰洲村、马宫街道长沙村2个行政村（8个自然村），全长约7.8公里；</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②“生态农旅”景观示范带。沿线经过东涌镇赤古村、石洲村、洪流村、宝楼村4个行政村，全长约6公里；</w:t>
      </w:r>
    </w:p>
    <w:p>
      <w:pPr>
        <w:pStyle w:val="2"/>
        <w:keepNext w:val="0"/>
        <w:keepLines w:val="0"/>
        <w:pageBreakBefore w:val="0"/>
        <w:widowControl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③北线“黄江画卷·水乡风情”乡村振兴示范带。位于红草镇（黄江入海口东岸），示范带为红草镇梧围村至辰州村白鹭岛，全长约 8.5 公里，共涉及梧围村、海梧村、亚洲村、辰州村共4个行政村；</w:t>
      </w:r>
    </w:p>
    <w:p>
      <w:pPr>
        <w:pStyle w:val="2"/>
        <w:keepNext w:val="0"/>
        <w:keepLines w:val="0"/>
        <w:pageBreakBefore w:val="0"/>
        <w:widowControl w:val="0"/>
        <w:kinsoku/>
        <w:wordWrap/>
        <w:overflowPunct/>
        <w:topLinePunct w:val="0"/>
        <w:autoSpaceDE/>
        <w:autoSpaceDN/>
        <w:bidi w:val="0"/>
        <w:adjustRightInd/>
        <w:snapToGrid/>
        <w:spacing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④东线延伸段“花果原乡”乡村振兴示范带。沿线经过洪流村、新安村、新民村、军船头村、龙溪村、安华村6个行政村，全长约7.5公里。</w:t>
      </w:r>
    </w:p>
    <w:p>
      <w:pPr>
        <w:keepNext w:val="0"/>
        <w:keepLines w:val="0"/>
        <w:pageBreakBefore w:val="0"/>
        <w:widowControl w:val="0"/>
        <w:kinsoku/>
        <w:wordWrap/>
        <w:overflowPunct/>
        <w:topLinePunct w:val="0"/>
        <w:autoSpaceDE/>
        <w:autoSpaceDN/>
        <w:bidi w:val="0"/>
        <w:adjustRightInd/>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这4条乡村振兴美丽景观示范带，共涉及4个乡镇，14个行政村，44个自然村，采用建设设施模式治理农村生活污水的自然村共39个，未开展治理的自然村为5个。详见下表。</w:t>
      </w:r>
    </w:p>
    <w:p>
      <w:pPr>
        <w:pStyle w:val="35"/>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表4-11 城区乡村振兴美丽景观示范带沿线村庄生活污水</w:t>
      </w:r>
    </w:p>
    <w:p>
      <w:pPr>
        <w:pStyle w:val="35"/>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治理情况表</w:t>
      </w:r>
    </w:p>
    <w:tbl>
      <w:tblPr>
        <w:tblStyle w:val="20"/>
        <w:tblW w:w="9243" w:type="dxa"/>
        <w:jc w:val="center"/>
        <w:shd w:val="clear" w:color="auto" w:fill="auto"/>
        <w:tblLayout w:type="fixed"/>
        <w:tblCellMar>
          <w:top w:w="0" w:type="dxa"/>
          <w:left w:w="28" w:type="dxa"/>
          <w:bottom w:w="0" w:type="dxa"/>
          <w:right w:w="28" w:type="dxa"/>
        </w:tblCellMar>
      </w:tblPr>
      <w:tblGrid>
        <w:gridCol w:w="1255"/>
        <w:gridCol w:w="1219"/>
        <w:gridCol w:w="1331"/>
        <w:gridCol w:w="1031"/>
        <w:gridCol w:w="1298"/>
        <w:gridCol w:w="1121"/>
        <w:gridCol w:w="1275"/>
        <w:gridCol w:w="713"/>
      </w:tblGrid>
      <w:tr>
        <w:tblPrEx>
          <w:tblCellMar>
            <w:top w:w="0" w:type="dxa"/>
            <w:left w:w="28" w:type="dxa"/>
            <w:bottom w:w="0" w:type="dxa"/>
            <w:right w:w="28" w:type="dxa"/>
          </w:tblCellMar>
        </w:tblPrEx>
        <w:trPr>
          <w:trHeight w:val="333" w:hRule="atLeast"/>
          <w:jc w:val="center"/>
        </w:trPr>
        <w:tc>
          <w:tcPr>
            <w:tcW w:w="12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乡村振兴示范带</w:t>
            </w:r>
          </w:p>
        </w:tc>
        <w:tc>
          <w:tcPr>
            <w:tcW w:w="121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highlight w:val="none"/>
                <w:u w:val="none"/>
                <w:lang w:val="en-US" w:eastAsia="zh-CN" w:bidi="ar"/>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涉及镇</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（街道）</w:t>
            </w:r>
          </w:p>
        </w:tc>
        <w:tc>
          <w:tcPr>
            <w:tcW w:w="133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涉及行政村</w:t>
            </w:r>
          </w:p>
        </w:tc>
        <w:tc>
          <w:tcPr>
            <w:tcW w:w="5438"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涉及自然村数量</w:t>
            </w:r>
          </w:p>
        </w:tc>
      </w:tr>
      <w:tr>
        <w:tblPrEx>
          <w:tblCellMar>
            <w:top w:w="0" w:type="dxa"/>
            <w:left w:w="28" w:type="dxa"/>
            <w:bottom w:w="0" w:type="dxa"/>
            <w:right w:w="28" w:type="dxa"/>
          </w:tblCellMar>
        </w:tblPrEx>
        <w:trPr>
          <w:trHeight w:val="591" w:hRule="atLeast"/>
          <w:jc w:val="center"/>
        </w:trPr>
        <w:tc>
          <w:tcPr>
            <w:tcW w:w="12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121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133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highlight w:val="none"/>
                <w:u w:val="none"/>
              </w:rPr>
            </w:pPr>
          </w:p>
        </w:tc>
        <w:tc>
          <w:tcPr>
            <w:tcW w:w="10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已纳厂</w:t>
            </w:r>
          </w:p>
        </w:tc>
        <w:tc>
          <w:tcPr>
            <w:tcW w:w="12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已建设施</w:t>
            </w:r>
          </w:p>
        </w:tc>
        <w:tc>
          <w:tcPr>
            <w:tcW w:w="11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可资源化利用</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未开展治理</w:t>
            </w:r>
          </w:p>
        </w:tc>
        <w:tc>
          <w:tcPr>
            <w:tcW w:w="7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总计</w:t>
            </w:r>
          </w:p>
        </w:tc>
      </w:tr>
      <w:tr>
        <w:tblPrEx>
          <w:tblCellMar>
            <w:top w:w="0" w:type="dxa"/>
            <w:left w:w="28" w:type="dxa"/>
            <w:bottom w:w="0" w:type="dxa"/>
            <w:right w:w="28" w:type="dxa"/>
          </w:tblCellMar>
        </w:tblPrEx>
        <w:trPr>
          <w:trHeight w:val="406" w:hRule="atLeast"/>
          <w:jc w:val="center"/>
        </w:trPr>
        <w:tc>
          <w:tcPr>
            <w:tcW w:w="1255"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“蚝情万丈”景观示范带</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红草镇</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辰州村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w:t>
            </w:r>
          </w:p>
        </w:tc>
      </w:tr>
      <w:tr>
        <w:tblPrEx>
          <w:tblCellMar>
            <w:top w:w="0" w:type="dxa"/>
            <w:left w:w="28" w:type="dxa"/>
            <w:bottom w:w="0" w:type="dxa"/>
            <w:right w:w="28" w:type="dxa"/>
          </w:tblCellMar>
        </w:tblPrEx>
        <w:trPr>
          <w:trHeight w:val="90" w:hRule="atLeast"/>
          <w:jc w:val="center"/>
        </w:trPr>
        <w:tc>
          <w:tcPr>
            <w:tcW w:w="1255"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马宫街道</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长沙村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r>
      <w:tr>
        <w:tblPrEx>
          <w:tblCellMar>
            <w:top w:w="0" w:type="dxa"/>
            <w:left w:w="28" w:type="dxa"/>
            <w:bottom w:w="0" w:type="dxa"/>
            <w:right w:w="28" w:type="dxa"/>
          </w:tblCellMar>
        </w:tblPrEx>
        <w:trPr>
          <w:trHeight w:val="318" w:hRule="atLeast"/>
          <w:jc w:val="center"/>
        </w:trPr>
        <w:tc>
          <w:tcPr>
            <w:tcW w:w="12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“生态农旅”景观示范带</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东涌镇</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赤古村、石洲村、洪流村、宝楼村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8</w:t>
            </w:r>
          </w:p>
        </w:tc>
      </w:tr>
      <w:tr>
        <w:tblPrEx>
          <w:tblCellMar>
            <w:top w:w="0" w:type="dxa"/>
            <w:left w:w="28" w:type="dxa"/>
            <w:bottom w:w="0" w:type="dxa"/>
            <w:right w:w="28" w:type="dxa"/>
          </w:tblCellMar>
        </w:tblPrEx>
        <w:trPr>
          <w:trHeight w:val="318" w:hRule="atLeast"/>
          <w:jc w:val="center"/>
        </w:trPr>
        <w:tc>
          <w:tcPr>
            <w:tcW w:w="12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“黄江画卷·水乡风情”乡村振兴示范带</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红草镇</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梧围村、海梧村、亚洲村、辰州村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13</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15</w:t>
            </w:r>
          </w:p>
        </w:tc>
      </w:tr>
      <w:tr>
        <w:tblPrEx>
          <w:tblCellMar>
            <w:top w:w="0" w:type="dxa"/>
            <w:left w:w="28" w:type="dxa"/>
            <w:bottom w:w="0" w:type="dxa"/>
            <w:right w:w="28" w:type="dxa"/>
          </w:tblCellMar>
        </w:tblPrEx>
        <w:trPr>
          <w:trHeight w:val="463" w:hRule="atLeast"/>
          <w:jc w:val="center"/>
        </w:trPr>
        <w:tc>
          <w:tcPr>
            <w:tcW w:w="1255" w:type="dxa"/>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“花果原乡”乡村振兴示范带</w:t>
            </w: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东涌镇</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sz w:val="21"/>
                <w:szCs w:val="21"/>
                <w:highlight w:val="none"/>
                <w:lang w:val="en-US" w:eastAsia="zh-CN"/>
              </w:rPr>
              <w:t>洪流村、新安村、新民村、龙溪村、安华村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10</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12</w:t>
            </w:r>
          </w:p>
        </w:tc>
      </w:tr>
      <w:tr>
        <w:tblPrEx>
          <w:tblCellMar>
            <w:top w:w="0" w:type="dxa"/>
            <w:left w:w="28" w:type="dxa"/>
            <w:bottom w:w="0" w:type="dxa"/>
            <w:right w:w="28" w:type="dxa"/>
          </w:tblCellMar>
        </w:tblPrEx>
        <w:trPr>
          <w:trHeight w:val="463" w:hRule="atLeast"/>
          <w:jc w:val="center"/>
        </w:trPr>
        <w:tc>
          <w:tcPr>
            <w:tcW w:w="1255" w:type="dxa"/>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p>
        </w:tc>
        <w:tc>
          <w:tcPr>
            <w:tcW w:w="12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捷胜镇</w:t>
            </w:r>
          </w:p>
        </w:tc>
        <w:tc>
          <w:tcPr>
            <w:tcW w:w="133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军船头村</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w:t>
            </w:r>
          </w:p>
        </w:tc>
      </w:tr>
      <w:tr>
        <w:tblPrEx>
          <w:tblCellMar>
            <w:top w:w="0" w:type="dxa"/>
            <w:left w:w="28" w:type="dxa"/>
            <w:bottom w:w="0" w:type="dxa"/>
            <w:right w:w="28" w:type="dxa"/>
          </w:tblCellMar>
        </w:tblPrEx>
        <w:trPr>
          <w:trHeight w:val="333" w:hRule="atLeast"/>
          <w:jc w:val="center"/>
        </w:trPr>
        <w:tc>
          <w:tcPr>
            <w:tcW w:w="3805"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总计（扣除重复）</w:t>
            </w:r>
          </w:p>
        </w:tc>
        <w:tc>
          <w:tcPr>
            <w:tcW w:w="10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39</w:t>
            </w:r>
          </w:p>
        </w:tc>
        <w:tc>
          <w:tcPr>
            <w:tcW w:w="11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c>
          <w:tcPr>
            <w:tcW w:w="12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5</w:t>
            </w:r>
          </w:p>
        </w:tc>
        <w:tc>
          <w:tcPr>
            <w:tcW w:w="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44</w:t>
            </w:r>
          </w:p>
        </w:tc>
      </w:tr>
    </w:tbl>
    <w:p>
      <w:pPr>
        <w:pStyle w:val="6"/>
        <w:pageBreakBefore w:val="0"/>
        <w:widowControl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rPr>
      </w:pPr>
      <w:bookmarkStart w:id="245" w:name="_Toc23631"/>
      <w:bookmarkStart w:id="246" w:name="_Toc12004"/>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highlight w:val="none"/>
          <w:lang w:val="en-US" w:eastAsia="zh-CN"/>
        </w:rPr>
        <w:t>未开展治理自然村治理模式分析</w:t>
      </w:r>
      <w:bookmarkEnd w:id="245"/>
    </w:p>
    <w:p>
      <w:pPr>
        <w:pageBreakBefore w:val="0"/>
        <w:widowControl w:val="0"/>
        <w:kinsoku/>
        <w:wordWrap/>
        <w:overflowPunct/>
        <w:topLinePunct w:val="0"/>
        <w:autoSpaceDE w:val="0"/>
        <w:autoSpaceDN w:val="0"/>
        <w:bidi w:val="0"/>
        <w:adjustRightInd w:val="0"/>
        <w:snapToGrid/>
        <w:spacing w:line="52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根据村庄规划定位、聚集程度、社会经济发展情况，并结合各行政村、自然村的地理位置，即是否所属重点区域，同时城镇污水处理厂（站）及已建村庄污水处理设施情况结合，确定村庄治理模式。本次规划</w:t>
      </w:r>
      <w:r>
        <w:rPr>
          <w:rFonts w:hint="eastAsia" w:ascii="仿宋_GB2312" w:hAnsi="仿宋_GB2312" w:eastAsia="仿宋_GB2312" w:cs="仿宋_GB2312"/>
          <w:sz w:val="32"/>
          <w:szCs w:val="32"/>
          <w:lang w:val="en-US" w:eastAsia="zh-CN"/>
        </w:rPr>
        <w:t>自然村</w:t>
      </w:r>
      <w:r>
        <w:rPr>
          <w:rFonts w:hint="eastAsia" w:ascii="仿宋_GB2312" w:hAnsi="仿宋_GB2312" w:eastAsia="仿宋_GB2312" w:cs="仿宋_GB2312"/>
          <w:sz w:val="32"/>
          <w:szCs w:val="32"/>
        </w:rPr>
        <w:t>治理模式主要有纳厂、建设设施、资源化利用三种治理模式。</w:t>
      </w:r>
    </w:p>
    <w:p>
      <w:pPr>
        <w:pageBreakBefore w:val="0"/>
        <w:widowControl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规划对靠近城镇且满足城镇污水收集管网接入要求的农村区域，优先纳入城镇污水处理厂（站）处理；对集聚程度较高、经济条件较好的农村区域，进行集中处理，逐步实现应接尽接。尚未建设过农村生活污水处理站点的自然村中，除了人口少、居住分散，农户居住周边具有较多农田或其他可用于生态消纳的场地的村庄外（此类村庄具备较好的资源化利用条件，拟通过资源化利用模式实现污水治理，不宜建设污水收集及处理系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筛选出农户相对比较聚集且污水排放对周边水环境会产生一定负面影响的村落，采用建设设施模式集中处理。</w:t>
      </w:r>
    </w:p>
    <w:p>
      <w:pPr>
        <w:pageBreakBefore w:val="0"/>
        <w:widowControl w:val="0"/>
        <w:kinsoku/>
        <w:wordWrap/>
        <w:overflowPunct/>
        <w:topLinePunct w:val="0"/>
        <w:autoSpaceDE w:val="0"/>
        <w:autoSpaceDN w:val="0"/>
        <w:bidi w:val="0"/>
        <w:adjustRightInd w:val="0"/>
        <w:snapToGrid/>
        <w:spacing w:line="52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根据现场摸排及相关基本资料，初步对</w:t>
      </w:r>
      <w:r>
        <w:rPr>
          <w:rFonts w:hint="eastAsia" w:ascii="仿宋_GB2312" w:hAnsi="仿宋_GB2312" w:eastAsia="仿宋_GB2312" w:cs="仿宋_GB2312"/>
          <w:sz w:val="32"/>
          <w:szCs w:val="32"/>
          <w:lang w:val="en-US" w:eastAsia="zh-CN"/>
        </w:rPr>
        <w:t>城区19</w:t>
      </w:r>
      <w:r>
        <w:rPr>
          <w:rFonts w:hint="eastAsia" w:ascii="仿宋_GB2312" w:hAnsi="仿宋_GB2312" w:eastAsia="仿宋_GB2312" w:cs="仿宋_GB2312"/>
          <w:sz w:val="32"/>
          <w:szCs w:val="32"/>
        </w:rPr>
        <w:t>个</w:t>
      </w:r>
      <w:r>
        <w:rPr>
          <w:rFonts w:hint="eastAsia" w:ascii="仿宋_GB2312" w:hAnsi="仿宋_GB2312" w:eastAsia="仿宋_GB2312" w:cs="仿宋_GB2312"/>
          <w:sz w:val="32"/>
          <w:szCs w:val="32"/>
          <w:lang w:val="en-US" w:eastAsia="zh-CN"/>
        </w:rPr>
        <w:t>未开展治理的</w:t>
      </w:r>
      <w:r>
        <w:rPr>
          <w:rFonts w:hint="eastAsia" w:ascii="仿宋_GB2312" w:hAnsi="仿宋_GB2312" w:eastAsia="仿宋_GB2312" w:cs="仿宋_GB2312"/>
          <w:sz w:val="32"/>
          <w:szCs w:val="32"/>
        </w:rPr>
        <w:t>自然村情况</w:t>
      </w:r>
      <w:r>
        <w:rPr>
          <w:rFonts w:hint="eastAsia" w:ascii="仿宋_GB2312" w:hAnsi="仿宋_GB2312" w:eastAsia="仿宋_GB2312" w:cs="仿宋_GB2312"/>
          <w:sz w:val="32"/>
          <w:szCs w:val="32"/>
          <w:lang w:val="en-US" w:eastAsia="zh-CN"/>
        </w:rPr>
        <w:t>并结合美丽乡村规划项目</w:t>
      </w:r>
      <w:r>
        <w:rPr>
          <w:rFonts w:hint="eastAsia" w:ascii="仿宋_GB2312" w:hAnsi="仿宋_GB2312" w:eastAsia="仿宋_GB2312" w:cs="仿宋_GB2312"/>
          <w:sz w:val="32"/>
          <w:szCs w:val="32"/>
        </w:rPr>
        <w:t>进行分析，</w:t>
      </w:r>
      <w:r>
        <w:rPr>
          <w:rFonts w:hint="eastAsia" w:ascii="仿宋_GB2312" w:hAnsi="仿宋_GB2312" w:eastAsia="仿宋_GB2312" w:cs="仿宋_GB2312"/>
          <w:sz w:val="32"/>
          <w:szCs w:val="32"/>
          <w:lang w:val="en-US" w:eastAsia="zh-CN"/>
        </w:rPr>
        <w:t>给出</w:t>
      </w:r>
      <w:r>
        <w:rPr>
          <w:rFonts w:hint="eastAsia" w:ascii="仿宋_GB2312" w:hAnsi="仿宋_GB2312" w:eastAsia="仿宋_GB2312" w:cs="仿宋_GB2312"/>
          <w:sz w:val="32"/>
          <w:szCs w:val="32"/>
        </w:rPr>
        <w:t>各个自然村建议采用的治理模式。</w:t>
      </w:r>
      <w:r>
        <w:rPr>
          <w:rFonts w:hint="eastAsia" w:ascii="仿宋_GB2312" w:hAnsi="仿宋_GB2312" w:eastAsia="仿宋_GB2312" w:cs="仿宋_GB2312"/>
          <w:sz w:val="32"/>
          <w:szCs w:val="32"/>
          <w:lang w:val="en-US" w:eastAsia="zh-CN"/>
        </w:rPr>
        <w:t>以下村庄治理模式仅是初步建议，后续执行时应根据各自然村实际情况及结合不同治理模式采用原则进一步明确。</w:t>
      </w:r>
      <w:r>
        <w:rPr>
          <w:rFonts w:hint="eastAsia" w:ascii="仿宋_GB2312" w:hAnsi="仿宋_GB2312" w:eastAsia="仿宋_GB2312" w:cs="仿宋_GB2312"/>
          <w:sz w:val="32"/>
          <w:szCs w:val="32"/>
        </w:rPr>
        <w:t>城区各镇街自然村建议治理模式汇总情况详见下表。</w:t>
      </w:r>
    </w:p>
    <w:p>
      <w:pPr>
        <w:pStyle w:val="2"/>
        <w:pageBreakBefore w:val="0"/>
        <w:widowControl w:val="0"/>
        <w:kinsoku/>
        <w:wordWrap/>
        <w:overflowPunct/>
        <w:topLinePunct w:val="0"/>
        <w:bidi w:val="0"/>
        <w:snapToGrid/>
        <w:spacing w:after="0" w:line="520" w:lineRule="exact"/>
        <w:ind w:left="0" w:leftChars="0" w:right="0" w:rightChars="0" w:firstLine="643" w:firstLineChars="20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表4-12 各镇街村庄建议采用治理模式汇总表</w:t>
      </w:r>
    </w:p>
    <w:tbl>
      <w:tblPr>
        <w:tblStyle w:val="20"/>
        <w:tblW w:w="8832" w:type="dxa"/>
        <w:tblInd w:w="9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176"/>
        <w:gridCol w:w="1080"/>
        <w:gridCol w:w="1174"/>
        <w:gridCol w:w="707"/>
        <w:gridCol w:w="1407"/>
        <w:gridCol w:w="1096"/>
        <w:gridCol w:w="722"/>
        <w:gridCol w:w="1470"/>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00" w:hRule="atLeast"/>
        </w:trPr>
        <w:tc>
          <w:tcPr>
            <w:tcW w:w="1176"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镇/街道</w:t>
            </w:r>
          </w:p>
        </w:tc>
        <w:tc>
          <w:tcPr>
            <w:tcW w:w="108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未开展治理的自然村数</w:t>
            </w:r>
          </w:p>
        </w:tc>
        <w:tc>
          <w:tcPr>
            <w:tcW w:w="3288" w:type="dxa"/>
            <w:gridSpan w:val="3"/>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重点区域内自然村数量</w:t>
            </w:r>
          </w:p>
        </w:tc>
        <w:tc>
          <w:tcPr>
            <w:tcW w:w="3288" w:type="dxa"/>
            <w:gridSpan w:val="3"/>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非重点区域内自然村数量</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vMerge w:val="continue"/>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80" w:type="dxa"/>
            <w:vMerge w:val="continue"/>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东涌镇</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w:t>
            </w: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lang w:val="en-US" w:eastAsia="zh-CN"/>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w:t>
            </w: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lang w:val="en-US" w:eastAsia="zh-CN"/>
              </w:rPr>
            </w:pPr>
          </w:p>
        </w:tc>
        <w:tc>
          <w:tcPr>
            <w:tcW w:w="696" w:type="dxa"/>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红草镇</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12</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6</w:t>
            </w:r>
          </w:p>
        </w:tc>
        <w:tc>
          <w:tcPr>
            <w:tcW w:w="1416" w:type="dxa"/>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捷胜镇</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马宫街道</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香洲街道</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0</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17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总计</w:t>
            </w:r>
          </w:p>
        </w:tc>
        <w:tc>
          <w:tcPr>
            <w:tcW w:w="1080"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19</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3</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4</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6</w:t>
            </w:r>
          </w:p>
        </w:tc>
        <w:tc>
          <w:tcPr>
            <w:tcW w:w="0" w:type="auto"/>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p>
        </w:tc>
        <w:tc>
          <w:tcPr>
            <w:tcW w:w="69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6</w:t>
            </w:r>
          </w:p>
        </w:tc>
        <w:tc>
          <w:tcPr>
            <w:tcW w:w="1416"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p>
        </w:tc>
      </w:tr>
    </w:tbl>
    <w:p>
      <w:pPr>
        <w:bidi w:val="0"/>
      </w:pPr>
      <w:r>
        <w:drawing>
          <wp:anchor distT="0" distB="0" distL="114300" distR="114300" simplePos="0" relativeHeight="251667456" behindDoc="0" locked="0" layoutInCell="1" allowOverlap="1">
            <wp:simplePos x="0" y="0"/>
            <wp:positionH relativeFrom="column">
              <wp:posOffset>-12065</wp:posOffset>
            </wp:positionH>
            <wp:positionV relativeFrom="paragraph">
              <wp:posOffset>2705735</wp:posOffset>
            </wp:positionV>
            <wp:extent cx="1219835" cy="743585"/>
            <wp:effectExtent l="0" t="0" r="18415" b="18415"/>
            <wp:wrapNone/>
            <wp:docPr id="40"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true"/>
                    </pic:cNvPicPr>
                  </pic:nvPicPr>
                  <pic:blipFill>
                    <a:blip r:embed="rId7"/>
                    <a:stretch>
                      <a:fillRect/>
                    </a:stretch>
                  </pic:blipFill>
                  <pic:spPr>
                    <a:xfrm>
                      <a:off x="0" y="0"/>
                      <a:ext cx="1219835" cy="743585"/>
                    </a:xfrm>
                    <a:prstGeom prst="rect">
                      <a:avLst/>
                    </a:prstGeom>
                    <a:noFill/>
                    <a:ln>
                      <a:noFill/>
                    </a:ln>
                  </pic:spPr>
                </pic:pic>
              </a:graphicData>
            </a:graphic>
          </wp:anchor>
        </w:drawing>
      </w:r>
      <w:r>
        <w:drawing>
          <wp:inline distT="0" distB="0" distL="114300" distR="114300">
            <wp:extent cx="5299075" cy="3356610"/>
            <wp:effectExtent l="0" t="0" r="15875" b="15240"/>
            <wp:docPr id="1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true"/>
                    </pic:cNvPicPr>
                  </pic:nvPicPr>
                  <pic:blipFill>
                    <a:blip r:embed="rId42"/>
                    <a:srcRect r="5855"/>
                    <a:stretch>
                      <a:fillRect/>
                    </a:stretch>
                  </pic:blipFill>
                  <pic:spPr>
                    <a:xfrm>
                      <a:off x="0" y="0"/>
                      <a:ext cx="5299075" cy="3356610"/>
                    </a:xfrm>
                    <a:prstGeom prst="rect">
                      <a:avLst/>
                    </a:prstGeom>
                    <a:noFill/>
                    <a:ln>
                      <a:noFill/>
                    </a:ln>
                  </pic:spPr>
                </pic:pic>
              </a:graphicData>
            </a:graphic>
          </wp:inline>
        </w:drawing>
      </w:r>
    </w:p>
    <w:p>
      <w:pPr>
        <w:pStyle w:val="2"/>
        <w:pageBreakBefore w:val="0"/>
        <w:kinsoku/>
        <w:wordWrap/>
        <w:overflowPunct/>
        <w:topLinePunct w:val="0"/>
        <w:autoSpaceDE/>
        <w:autoSpaceDN/>
        <w:bidi w:val="0"/>
        <w:spacing w:beforeAutospacing="0" w:after="0" w:line="520" w:lineRule="exact"/>
        <w:ind w:left="0" w:leftChars="0" w:right="0" w:rightChars="0" w:firstLine="643" w:firstLineChars="200"/>
        <w:jc w:val="center"/>
        <w:textAlignment w:val="auto"/>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kern w:val="2"/>
          <w:sz w:val="32"/>
          <w:szCs w:val="32"/>
          <w:highlight w:val="none"/>
          <w:lang w:val="en-US" w:eastAsia="zh-CN"/>
        </w:rPr>
        <w:t>图4-15 未开展治理自然村分布图</w:t>
      </w:r>
    </w:p>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（1）东涌镇</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firstLine="640" w:firstLineChars="200"/>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根据现场调查，东涌镇有5个自然村需开展农村生活污水治理工作，因这5个自然村实际常住人口较少，消纳场地丰富，具备资源化利用条件，均拟采用资源化利用模式进行治理。</w:t>
      </w:r>
    </w:p>
    <w:p>
      <w:pPr>
        <w:pStyle w:val="2"/>
        <w:keepNext w:val="0"/>
        <w:keepLines w:val="0"/>
        <w:pageBreakBefore w:val="0"/>
        <w:widowControl w:val="0"/>
        <w:kinsoku/>
        <w:wordWrap/>
        <w:overflowPunct/>
        <w:topLinePunct w:val="0"/>
        <w:autoSpaceDE/>
        <w:autoSpaceDN/>
        <w:bidi w:val="0"/>
        <w:adjustRightInd/>
        <w:snapToGrid/>
        <w:spacing w:after="305" w:afterLines="50" w:line="520" w:lineRule="exact"/>
        <w:ind w:left="0" w:leftChars="0" w:right="0" w:rightChars="0" w:firstLine="643" w:firstLineChars="200"/>
        <w:jc w:val="center"/>
        <w:textAlignment w:val="auto"/>
        <w:rPr>
          <w:rFonts w:hint="default" w:ascii="Times New Roman" w:hAnsi="Times New Roman" w:eastAsia="黑体" w:cs="Times New Roman"/>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表4-13 东涌镇各村治理模式一览表</w:t>
      </w:r>
    </w:p>
    <w:tbl>
      <w:tblPr>
        <w:tblStyle w:val="20"/>
        <w:tblW w:w="56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50"/>
        <w:gridCol w:w="1197"/>
        <w:gridCol w:w="1106"/>
        <w:gridCol w:w="1235"/>
        <w:gridCol w:w="1583"/>
        <w:gridCol w:w="2805"/>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14" w:hRule="atLeast"/>
          <w:jc w:val="center"/>
        </w:trPr>
        <w:tc>
          <w:tcPr>
            <w:tcW w:w="39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625"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行政村</w:t>
            </w: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w:t>
            </w:r>
          </w:p>
        </w:tc>
        <w:tc>
          <w:tcPr>
            <w:tcW w:w="64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常住</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人口</w:t>
            </w:r>
          </w:p>
        </w:tc>
        <w:tc>
          <w:tcPr>
            <w:tcW w:w="826"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主要治理模式</w:t>
            </w:r>
          </w:p>
        </w:tc>
        <w:tc>
          <w:tcPr>
            <w:tcW w:w="146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rPr>
            </w:pPr>
            <w:r>
              <w:rPr>
                <w:rFonts w:hint="eastAsia" w:ascii="仿宋_GB2312" w:hAnsi="仿宋_GB2312" w:eastAsia="仿宋_GB2312" w:cs="仿宋_GB2312"/>
                <w:b/>
                <w:bCs/>
                <w:i w:val="0"/>
                <w:iCs w:val="0"/>
                <w:color w:val="000000"/>
                <w:kern w:val="0"/>
                <w:sz w:val="21"/>
                <w:szCs w:val="21"/>
                <w:u w:val="none"/>
                <w:lang w:val="en-US" w:eastAsia="zh-CN" w:bidi="ar"/>
              </w:rPr>
              <w:t>主要污水治理措施建议</w:t>
            </w:r>
          </w:p>
        </w:tc>
        <w:tc>
          <w:tcPr>
            <w:tcW w:w="469"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39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25"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民进村</w:t>
            </w: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黄竹坑</w:t>
            </w:r>
          </w:p>
        </w:tc>
        <w:tc>
          <w:tcPr>
            <w:tcW w:w="64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112</w:t>
            </w:r>
          </w:p>
        </w:tc>
        <w:tc>
          <w:tcPr>
            <w:tcW w:w="8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资源化利用</w:t>
            </w:r>
          </w:p>
        </w:tc>
        <w:tc>
          <w:tcPr>
            <w:tcW w:w="14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拟采用资源化利用模式，集中建设厌氧池</w:t>
            </w:r>
          </w:p>
        </w:tc>
        <w:tc>
          <w:tcPr>
            <w:tcW w:w="469"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39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62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许厝乡</w:t>
            </w:r>
          </w:p>
        </w:tc>
        <w:tc>
          <w:tcPr>
            <w:tcW w:w="64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178</w:t>
            </w:r>
          </w:p>
        </w:tc>
        <w:tc>
          <w:tcPr>
            <w:tcW w:w="8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sz w:val="21"/>
                <w:szCs w:val="21"/>
                <w:u w:val="none"/>
                <w:lang w:val="en-US" w:eastAsia="zh-CN"/>
              </w:rPr>
              <w:t>资源化利用</w:t>
            </w:r>
          </w:p>
        </w:tc>
        <w:tc>
          <w:tcPr>
            <w:tcW w:w="14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拟采用资源化利用模式，集中建设厌氧池</w:t>
            </w:r>
          </w:p>
        </w:tc>
        <w:tc>
          <w:tcPr>
            <w:tcW w:w="469"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63" w:hRule="atLeast"/>
          <w:jc w:val="center"/>
        </w:trPr>
        <w:tc>
          <w:tcPr>
            <w:tcW w:w="39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62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后澳</w:t>
            </w:r>
          </w:p>
        </w:tc>
        <w:tc>
          <w:tcPr>
            <w:tcW w:w="64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8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sz w:val="21"/>
                <w:szCs w:val="21"/>
                <w:u w:val="none"/>
                <w:lang w:val="en-US" w:eastAsia="zh-CN"/>
              </w:rPr>
              <w:t>资源化利用</w:t>
            </w:r>
          </w:p>
        </w:tc>
        <w:tc>
          <w:tcPr>
            <w:tcW w:w="14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拟采用资源化利用模式，集中建设厌氧池</w:t>
            </w:r>
          </w:p>
        </w:tc>
        <w:tc>
          <w:tcPr>
            <w:tcW w:w="469"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7" w:hRule="atLeast"/>
          <w:jc w:val="center"/>
        </w:trPr>
        <w:tc>
          <w:tcPr>
            <w:tcW w:w="39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625"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珠玛寮</w:t>
            </w:r>
          </w:p>
        </w:tc>
        <w:tc>
          <w:tcPr>
            <w:tcW w:w="644"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62</w:t>
            </w:r>
          </w:p>
        </w:tc>
        <w:tc>
          <w:tcPr>
            <w:tcW w:w="8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资源化利用</w:t>
            </w:r>
          </w:p>
        </w:tc>
        <w:tc>
          <w:tcPr>
            <w:tcW w:w="14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拟采用资源化利用模式，集中建设厌氧池</w:t>
            </w:r>
          </w:p>
        </w:tc>
        <w:tc>
          <w:tcPr>
            <w:tcW w:w="469"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39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w:t>
            </w:r>
          </w:p>
        </w:tc>
        <w:tc>
          <w:tcPr>
            <w:tcW w:w="625" w:type="pct"/>
            <w:vMerge w:val="continue"/>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57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贵子埔</w:t>
            </w:r>
          </w:p>
        </w:tc>
        <w:tc>
          <w:tcPr>
            <w:tcW w:w="644" w:type="pct"/>
            <w:shd w:val="clear" w:color="auto" w:fill="auto"/>
            <w:vAlign w:val="center"/>
          </w:tcPr>
          <w:p>
            <w:pPr>
              <w:keepNext w:val="0"/>
              <w:keepLines w:val="0"/>
              <w:widowControl/>
              <w:suppressLineNumbers w:val="0"/>
              <w:tabs>
                <w:tab w:val="left" w:pos="286"/>
              </w:tabs>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8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资源化利用</w:t>
            </w:r>
          </w:p>
        </w:tc>
        <w:tc>
          <w:tcPr>
            <w:tcW w:w="146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拟采用资源化利用模式，集中建设厌氧池</w:t>
            </w:r>
          </w:p>
        </w:tc>
        <w:tc>
          <w:tcPr>
            <w:tcW w:w="469"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bl>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（2）红草镇</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left="0" w:leftChars="0" w:firstLine="640" w:firstLineChars="200"/>
        <w:jc w:val="both"/>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根据现场调查，红草镇有12个自然村需开展农村生活污水治理工作。大份村的生活污水接入其所属行政村的处理设施进行治理，另有10个符合纳厂条件的自然村采用纳厂模式进行治理。另有1个常住人口较少的自然村拟采用资源化利用模式进行治理。</w:t>
      </w:r>
    </w:p>
    <w:p>
      <w:pPr>
        <w:pStyle w:val="2"/>
        <w:keepNext w:val="0"/>
        <w:keepLines w:val="0"/>
        <w:pageBreakBefore w:val="0"/>
        <w:widowControl w:val="0"/>
        <w:kinsoku/>
        <w:wordWrap/>
        <w:overflowPunct/>
        <w:topLinePunct w:val="0"/>
        <w:autoSpaceDE/>
        <w:autoSpaceDN/>
        <w:bidi w:val="0"/>
        <w:adjustRightInd/>
        <w:snapToGrid/>
        <w:spacing w:after="305" w:afterLines="50" w:line="520" w:lineRule="exact"/>
        <w:ind w:left="0" w:leftChars="0" w:right="0" w:rightChars="0" w:firstLine="643" w:firstLineChars="20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表4-14 红草镇各村治理模式一览表</w:t>
      </w:r>
    </w:p>
    <w:tbl>
      <w:tblPr>
        <w:tblStyle w:val="20"/>
        <w:tblW w:w="56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24"/>
        <w:gridCol w:w="1310"/>
        <w:gridCol w:w="1020"/>
        <w:gridCol w:w="1092"/>
        <w:gridCol w:w="1272"/>
        <w:gridCol w:w="2552"/>
        <w:gridCol w:w="1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37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编号</w:t>
            </w:r>
          </w:p>
        </w:tc>
        <w:tc>
          <w:tcPr>
            <w:tcW w:w="675"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行政村</w:t>
            </w:r>
          </w:p>
        </w:tc>
        <w:tc>
          <w:tcPr>
            <w:tcW w:w="526"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w:t>
            </w:r>
          </w:p>
        </w:tc>
        <w:tc>
          <w:tcPr>
            <w:tcW w:w="56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常住人口</w:t>
            </w:r>
          </w:p>
        </w:tc>
        <w:tc>
          <w:tcPr>
            <w:tcW w:w="656"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主要治理模式</w:t>
            </w:r>
          </w:p>
        </w:tc>
        <w:tc>
          <w:tcPr>
            <w:tcW w:w="1316"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rPr>
            </w:pPr>
            <w:r>
              <w:rPr>
                <w:rFonts w:hint="eastAsia" w:ascii="仿宋_GB2312" w:hAnsi="仿宋_GB2312" w:eastAsia="仿宋_GB2312" w:cs="仿宋_GB2312"/>
                <w:b/>
                <w:bCs/>
                <w:i w:val="0"/>
                <w:iCs w:val="0"/>
                <w:color w:val="000000"/>
                <w:kern w:val="0"/>
                <w:sz w:val="21"/>
                <w:szCs w:val="21"/>
                <w:u w:val="none"/>
                <w:lang w:val="en-US" w:eastAsia="zh-CN" w:bidi="ar"/>
              </w:rPr>
              <w:t>主要污水治理措施建议</w:t>
            </w:r>
          </w:p>
        </w:tc>
        <w:tc>
          <w:tcPr>
            <w:tcW w:w="888"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青山村委会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石牌</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青山村委会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楼星</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382</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青山村委会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曾厝</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185</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三和村委会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水陂</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三和村委会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头寮</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286</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拾和村委会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仁盛</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480</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拾和村委会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新厝</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230</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拾和村委会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东宫</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980</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拾和村委会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竹围</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1089</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径口村委会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东坑</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拟接入汕尾高新区红草园区综合污水处理厂</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亚洲村委会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亚洲</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拟采用资源化利用模式</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空心村，污水受纳体未受污染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37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w:t>
            </w:r>
          </w:p>
        </w:tc>
        <w:tc>
          <w:tcPr>
            <w:tcW w:w="675"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梧围村委会</w:t>
            </w:r>
          </w:p>
        </w:tc>
        <w:tc>
          <w:tcPr>
            <w:tcW w:w="52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大份</w:t>
            </w:r>
          </w:p>
        </w:tc>
        <w:tc>
          <w:tcPr>
            <w:tcW w:w="5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65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316"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拟接入梧围村设施</w:t>
            </w:r>
          </w:p>
        </w:tc>
        <w:tc>
          <w:tcPr>
            <w:tcW w:w="888"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r>
    </w:tbl>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（3）捷胜镇</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rPr>
      </w:pPr>
      <w:r>
        <w:rPr>
          <w:rFonts w:hint="eastAsia" w:ascii="仿宋_GB2312" w:hAnsi="仿宋_GB2312" w:eastAsia="仿宋_GB2312" w:cs="仿宋_GB2312"/>
          <w:kern w:val="2"/>
          <w:sz w:val="32"/>
          <w:szCs w:val="32"/>
          <w:highlight w:val="none"/>
          <w:lang w:val="en-US" w:eastAsia="zh-CN" w:bidi="ar"/>
        </w:rPr>
        <w:t>根据现场调查，捷胜镇27个自然村均已开展治理，其中的双湖村目前为空心村，且周边消纳场地丰富，可认定采用资源化利用模式治理完成，但其位于海边，结合拟发展滨海旅游，后续结合村庄规划采用建设设施模式进行治理。</w:t>
      </w:r>
    </w:p>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（4）马宫街道</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根据现场调查，马宫街道有1个自然村需开展农村生活污水治理工作，采用建设设施模式进行治理，因村内用地紧张，拟纳入其所属行政村下的污水处理设施。详见下表。</w:t>
      </w:r>
    </w:p>
    <w:p>
      <w:pPr>
        <w:pStyle w:val="2"/>
        <w:keepNext w:val="0"/>
        <w:keepLines w:val="0"/>
        <w:pageBreakBefore w:val="0"/>
        <w:widowControl w:val="0"/>
        <w:kinsoku/>
        <w:wordWrap/>
        <w:overflowPunct/>
        <w:topLinePunct w:val="0"/>
        <w:autoSpaceDE/>
        <w:autoSpaceDN/>
        <w:bidi w:val="0"/>
        <w:adjustRightInd/>
        <w:snapToGrid/>
        <w:spacing w:beforeAutospacing="0" w:after="0" w:line="520" w:lineRule="exact"/>
        <w:ind w:left="0" w:leftChars="0" w:right="0" w:rightChars="0" w:firstLine="643" w:firstLineChars="20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表4-15 马宫街道各村治理模式一览表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57" w:type="dxa"/>
          <w:bottom w:w="0" w:type="dxa"/>
          <w:right w:w="57" w:type="dxa"/>
        </w:tblCellMar>
      </w:tblPr>
      <w:tblGrid>
        <w:gridCol w:w="465"/>
        <w:gridCol w:w="744"/>
        <w:gridCol w:w="857"/>
        <w:gridCol w:w="1254"/>
        <w:gridCol w:w="1254"/>
        <w:gridCol w:w="2111"/>
        <w:gridCol w:w="17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57" w:type="dxa"/>
            <w:bottom w:w="0" w:type="dxa"/>
            <w:right w:w="57" w:type="dxa"/>
          </w:tblCellMar>
        </w:tblPrEx>
        <w:trPr>
          <w:trHeight w:val="396"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行政村</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自然村</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常住人口</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主要治理模式</w:t>
            </w:r>
          </w:p>
        </w:tc>
        <w:tc>
          <w:tcPr>
            <w:tcW w:w="12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rPr>
            </w:pPr>
            <w:r>
              <w:rPr>
                <w:rFonts w:hint="eastAsia" w:ascii="仿宋_GB2312" w:hAnsi="仿宋_GB2312" w:eastAsia="仿宋_GB2312" w:cs="仿宋_GB2312"/>
                <w:b/>
                <w:bCs/>
                <w:i w:val="0"/>
                <w:iCs w:val="0"/>
                <w:color w:val="000000"/>
                <w:kern w:val="0"/>
                <w:sz w:val="21"/>
                <w:szCs w:val="21"/>
                <w:u w:val="none"/>
                <w:lang w:val="en-US" w:eastAsia="zh-CN" w:bidi="ar"/>
              </w:rPr>
              <w:t>主要治理措施建议</w:t>
            </w:r>
          </w:p>
        </w:tc>
        <w:tc>
          <w:tcPr>
            <w:tcW w:w="10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长沙村</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后埔村</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2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拟纳入长沙村污水处理设施</w:t>
            </w:r>
          </w:p>
        </w:tc>
        <w:tc>
          <w:tcPr>
            <w:tcW w:w="102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bl>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（5）凤山街道</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根据现场调查，凤山街道仅有1个自然村需开展农村生活污水治理工作，目前已纳入市自然资源局蓝色海湾计划，正在建设，结合相关资料，拟采用建设设施模式进行治理，因出水排入品清湖，结合汕尾市相关规定，执行一级A标准。详见下表。</w:t>
      </w:r>
    </w:p>
    <w:p>
      <w:pPr>
        <w:pStyle w:val="2"/>
        <w:pageBreakBefore w:val="0"/>
        <w:kinsoku/>
        <w:wordWrap/>
        <w:overflowPunct/>
        <w:topLinePunct w:val="0"/>
        <w:autoSpaceDE/>
        <w:autoSpaceDN/>
        <w:bidi w:val="0"/>
        <w:spacing w:beforeAutospacing="0" w:after="0" w:line="520" w:lineRule="exact"/>
        <w:ind w:left="0" w:leftChars="0" w:right="0" w:rightChars="0" w:firstLine="643" w:firstLineChars="20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表4-16 凤山街道各村治理模式一览表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57" w:type="dxa"/>
          <w:bottom w:w="0" w:type="dxa"/>
          <w:right w:w="57" w:type="dxa"/>
        </w:tblCellMar>
      </w:tblPr>
      <w:tblGrid>
        <w:gridCol w:w="465"/>
        <w:gridCol w:w="744"/>
        <w:gridCol w:w="857"/>
        <w:gridCol w:w="1254"/>
        <w:gridCol w:w="1254"/>
        <w:gridCol w:w="2111"/>
        <w:gridCol w:w="173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57" w:type="dxa"/>
            <w:bottom w:w="0" w:type="dxa"/>
            <w:right w:w="57" w:type="dxa"/>
          </w:tblCellMar>
        </w:tblPrEx>
        <w:trPr>
          <w:trHeight w:val="396"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行政村</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自然村</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常住人口</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主要治理模式</w:t>
            </w:r>
          </w:p>
        </w:tc>
        <w:tc>
          <w:tcPr>
            <w:tcW w:w="12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rPr>
            </w:pPr>
            <w:r>
              <w:rPr>
                <w:rFonts w:hint="eastAsia" w:ascii="仿宋_GB2312" w:hAnsi="仿宋_GB2312" w:eastAsia="仿宋_GB2312" w:cs="仿宋_GB2312"/>
                <w:b/>
                <w:bCs/>
                <w:i w:val="0"/>
                <w:iCs w:val="0"/>
                <w:color w:val="000000"/>
                <w:kern w:val="0"/>
                <w:sz w:val="21"/>
                <w:szCs w:val="21"/>
                <w:u w:val="none"/>
                <w:lang w:val="en-US" w:eastAsia="zh-CN" w:bidi="ar"/>
              </w:rPr>
              <w:t>主要治理措施建议</w:t>
            </w:r>
          </w:p>
        </w:tc>
        <w:tc>
          <w:tcPr>
            <w:tcW w:w="102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57" w:type="dxa"/>
            <w:bottom w:w="0" w:type="dxa"/>
            <w:right w:w="57" w:type="dxa"/>
          </w:tblCellMar>
        </w:tblPrEx>
        <w:trPr>
          <w:trHeight w:val="288"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4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小岛渔业村</w:t>
            </w:r>
          </w:p>
        </w:tc>
        <w:tc>
          <w:tcPr>
            <w:tcW w:w="50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小岛</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281</w:t>
            </w:r>
          </w:p>
        </w:tc>
        <w:tc>
          <w:tcPr>
            <w:tcW w:w="74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2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采用AAO工艺，执行一级A标准</w:t>
            </w:r>
          </w:p>
        </w:tc>
        <w:tc>
          <w:tcPr>
            <w:tcW w:w="102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纳入市自然资源局蓝色海湾计划，建设资金不纳入本规划资金估算</w:t>
            </w:r>
          </w:p>
        </w:tc>
      </w:tr>
    </w:tbl>
    <w:p>
      <w:pPr>
        <w:pStyle w:val="7"/>
        <w:keepNext/>
        <w:keepLines/>
        <w:pageBreakBefore w:val="0"/>
        <w:widowControl w:val="0"/>
        <w:kinsoku/>
        <w:wordWrap/>
        <w:overflowPunct/>
        <w:topLinePunct w:val="0"/>
        <w:autoSpaceDE/>
        <w:autoSpaceDN/>
        <w:bidi w:val="0"/>
        <w:adjustRightInd/>
        <w:snapToGrid/>
        <w:spacing w:before="0" w:beforeAutospacing="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（6）新港街道</w:t>
      </w:r>
    </w:p>
    <w:p>
      <w:pPr>
        <w:pStyle w:val="19"/>
        <w:keepNext w:val="0"/>
        <w:keepLines w:val="0"/>
        <w:pageBreakBefore w:val="0"/>
        <w:widowControl/>
        <w:kinsoku/>
        <w:wordWrap/>
        <w:overflowPunct/>
        <w:topLinePunct w:val="0"/>
        <w:autoSpaceDE/>
        <w:autoSpaceDN/>
        <w:bidi w:val="0"/>
        <w:adjustRightInd w:val="0"/>
        <w:snapToGrid w:val="0"/>
        <w:spacing w:before="0" w:beforeAutospacing="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bidi="ar"/>
        </w:rPr>
      </w:pPr>
      <w:r>
        <w:rPr>
          <w:rFonts w:hint="eastAsia" w:ascii="仿宋_GB2312" w:hAnsi="仿宋_GB2312" w:eastAsia="仿宋_GB2312" w:cs="仿宋_GB2312"/>
          <w:kern w:val="2"/>
          <w:sz w:val="32"/>
          <w:szCs w:val="32"/>
          <w:highlight w:val="none"/>
          <w:lang w:val="en-US" w:eastAsia="zh-CN" w:bidi="ar"/>
        </w:rPr>
        <w:t>根据现场调查，新港街道7个自然村均已开展治理，无新增需开展治理的自然村。</w:t>
      </w:r>
    </w:p>
    <w:p>
      <w:pPr>
        <w:pStyle w:val="6"/>
        <w:pageBreakBefore w:val="0"/>
        <w:kinsoku/>
        <w:wordWrap/>
        <w:overflowPunct/>
        <w:topLinePunct w:val="0"/>
        <w:autoSpaceDE/>
        <w:autoSpaceDN/>
        <w:bidi w:val="0"/>
        <w:spacing w:before="0" w:beforeAutospacing="0" w:after="0" w:line="520" w:lineRule="exact"/>
        <w:ind w:firstLine="643" w:firstLineChars="200"/>
        <w:textAlignment w:val="auto"/>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pPr>
      <w:bookmarkStart w:id="247" w:name="_Toc18958"/>
      <w:r>
        <w:rPr>
          <w:rFonts w:hint="eastAsia" w:ascii="仿宋_GB2312" w:hAnsi="仿宋_GB2312" w:eastAsia="仿宋_GB2312" w:cs="仿宋_GB2312"/>
          <w:color w:val="000000" w:themeColor="text1"/>
          <w:sz w:val="32"/>
          <w:szCs w:val="32"/>
          <w:highlight w:val="none"/>
          <w:lang w:val="en-US" w:eastAsia="zh-CN"/>
          <w14:textFill>
            <w14:solidFill>
              <w14:schemeClr w14:val="tx1"/>
            </w14:solidFill>
          </w14:textFill>
        </w:rPr>
        <w:t>3.老旧设施管网提升改造分析</w:t>
      </w:r>
      <w:bookmarkEnd w:id="247"/>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以扩大污水收集覆盖范围、强化污水处理成效、提高工程质量为目标，通过“修复、改造、重建”的方式，分级实施。重点完善居住集中、人口规模大的村庄管网，提升管网覆盖率及接户率。对废弃或损坏闲置、施工停滞的设施以及处理规模偏、成效较差的设施进行修复或重建；对破损严重、错接漏接的管网进行修复；对治理模式不合实际、超出实际需求的设施进行整改。</w:t>
      </w:r>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rPr>
        <w:t>根据</w:t>
      </w:r>
      <w:r>
        <w:rPr>
          <w:rFonts w:hint="eastAsia" w:ascii="仿宋_GB2312" w:hAnsi="仿宋_GB2312" w:eastAsia="仿宋_GB2312" w:cs="仿宋_GB2312"/>
          <w:sz w:val="32"/>
          <w:szCs w:val="32"/>
          <w:highlight w:val="none"/>
          <w:lang w:val="en-US" w:eastAsia="zh-CN"/>
        </w:rPr>
        <w:t>广东省、汕尾市相关工作要求，到2022年底，需全面完成已建农村生活污水治理设施的整改提升工作。</w:t>
      </w:r>
      <w:r>
        <w:rPr>
          <w:rFonts w:hint="eastAsia" w:ascii="仿宋_GB2312" w:hAnsi="仿宋_GB2312" w:eastAsia="仿宋_GB2312" w:cs="仿宋_GB2312"/>
          <w:sz w:val="32"/>
          <w:szCs w:val="32"/>
          <w:highlight w:val="none"/>
        </w:rPr>
        <w:t>目前，</w:t>
      </w:r>
      <w:r>
        <w:rPr>
          <w:rFonts w:hint="eastAsia" w:ascii="仿宋_GB2312" w:hAnsi="仿宋_GB2312" w:eastAsia="仿宋_GB2312" w:cs="仿宋_GB2312"/>
          <w:sz w:val="32"/>
          <w:szCs w:val="32"/>
          <w:highlight w:val="none"/>
          <w:lang w:val="en-US" w:eastAsia="zh-CN"/>
        </w:rPr>
        <w:t>通过城区已开展</w:t>
      </w:r>
      <w:r>
        <w:rPr>
          <w:rFonts w:hint="eastAsia" w:ascii="仿宋_GB2312" w:hAnsi="仿宋_GB2312" w:eastAsia="仿宋_GB2312" w:cs="仿宋_GB2312"/>
          <w:sz w:val="32"/>
          <w:szCs w:val="32"/>
          <w:highlight w:val="none"/>
        </w:rPr>
        <w:t>的全面排查</w:t>
      </w:r>
      <w:r>
        <w:rPr>
          <w:rFonts w:hint="eastAsia" w:ascii="仿宋_GB2312" w:hAnsi="仿宋_GB2312" w:eastAsia="仿宋_GB2312" w:cs="仿宋_GB2312"/>
          <w:sz w:val="32"/>
          <w:szCs w:val="32"/>
          <w:highlight w:val="none"/>
          <w:lang w:val="en-US" w:eastAsia="zh-CN"/>
        </w:rPr>
        <w:t>工作</w:t>
      </w:r>
      <w:r>
        <w:rPr>
          <w:rFonts w:hint="eastAsia" w:ascii="仿宋_GB2312" w:hAnsi="仿宋_GB2312" w:eastAsia="仿宋_GB2312" w:cs="仿宋_GB2312"/>
          <w:sz w:val="32"/>
          <w:szCs w:val="32"/>
          <w:highlight w:val="none"/>
        </w:rPr>
        <w:t>，已基本摸清</w:t>
      </w:r>
      <w:r>
        <w:rPr>
          <w:rFonts w:hint="eastAsia" w:ascii="仿宋_GB2312" w:hAnsi="仿宋_GB2312" w:eastAsia="仿宋_GB2312" w:cs="仿宋_GB2312"/>
          <w:sz w:val="32"/>
          <w:szCs w:val="32"/>
          <w:highlight w:val="none"/>
          <w:lang w:val="en-US" w:eastAsia="zh-CN"/>
        </w:rPr>
        <w:t>城区区已建</w:t>
      </w:r>
      <w:r>
        <w:rPr>
          <w:rFonts w:hint="eastAsia" w:ascii="仿宋_GB2312" w:hAnsi="仿宋_GB2312" w:eastAsia="仿宋_GB2312" w:cs="仿宋_GB2312"/>
          <w:sz w:val="32"/>
          <w:szCs w:val="32"/>
          <w:highlight w:val="none"/>
        </w:rPr>
        <w:t>处理设施</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含管网</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的相关情况，</w:t>
      </w:r>
      <w:r>
        <w:rPr>
          <w:rFonts w:hint="eastAsia" w:ascii="仿宋_GB2312" w:hAnsi="仿宋_GB2312" w:eastAsia="仿宋_GB2312" w:cs="仿宋_GB2312"/>
          <w:sz w:val="32"/>
          <w:szCs w:val="32"/>
          <w:highlight w:val="none"/>
          <w:lang w:val="en-US" w:eastAsia="zh-CN"/>
        </w:rPr>
        <w:t>城区共有103个自然村纳入提升改造清单，均为管网需要进一步修复完善，初步形成</w:t>
      </w:r>
      <w:r>
        <w:rPr>
          <w:rFonts w:hint="eastAsia" w:ascii="仿宋_GB2312" w:hAnsi="仿宋_GB2312" w:eastAsia="仿宋_GB2312" w:cs="仿宋_GB2312"/>
          <w:sz w:val="32"/>
          <w:szCs w:val="32"/>
          <w:highlight w:val="none"/>
        </w:rPr>
        <w:t>了问题清单</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详见附表4</w:t>
      </w:r>
      <w:r>
        <w:rPr>
          <w:rFonts w:hint="eastAsia" w:ascii="仿宋_GB2312" w:hAnsi="仿宋_GB2312" w:eastAsia="仿宋_GB2312" w:cs="仿宋_GB2312"/>
          <w:sz w:val="32"/>
          <w:szCs w:val="32"/>
          <w:highlight w:val="none"/>
          <w:lang w:eastAsia="zh-CN"/>
        </w:rPr>
        <w:t>）。</w:t>
      </w:r>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根据排查得到的问题清单，形成提升改造自然村台账，综合分析各管网存在的问题，提出适合的整改方案，并严格执行。以问题清单为抓手，责任到镇、到村、到人，确保整改成效。主管部门需加强跟踪管理，在设施整改过程中，定期上报整改进度，强化措施，持续跟踪；对已经完成整改的设施，定期不定期开展整改成效“回头望”，督促其从严执行制度，确保整改成效。对于整改完成的自然村开展抽查复核，通过查阅资料、实地查看、走访座谈等形式，对整改落实情况进行实地抽查复核，对整改情况属实、整改成效明显的设施，在问题清单中销号删除。</w:t>
      </w:r>
    </w:p>
    <w:p>
      <w:pPr>
        <w:pStyle w:val="6"/>
        <w:pageBreakBefore w:val="0"/>
        <w:kinsoku/>
        <w:wordWrap/>
        <w:overflowPunct/>
        <w:topLinePunct w:val="0"/>
        <w:autoSpaceDE/>
        <w:autoSpaceDN/>
        <w:bidi w:val="0"/>
        <w:spacing w:before="0" w:beforeAutospacing="0" w:after="0" w:line="520" w:lineRule="exact"/>
        <w:ind w:firstLine="643" w:firstLineChars="200"/>
        <w:textAlignment w:val="auto"/>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bookmarkStart w:id="248" w:name="_Toc22352"/>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4.治理目标任务分解</w:t>
      </w:r>
      <w:bookmarkEnd w:id="248"/>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根据省、市下达至</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关于农村生活污水治理的相关任务目标和要求，结合</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数据资料分析和现场调研结果，确定</w:t>
      </w:r>
      <w:r>
        <w:rPr>
          <w:rFonts w:hint="eastAsia" w:ascii="仿宋_GB2312" w:hAnsi="仿宋_GB2312" w:eastAsia="仿宋_GB2312" w:cs="仿宋_GB2312"/>
          <w:sz w:val="32"/>
          <w:szCs w:val="32"/>
          <w:highlight w:val="none"/>
          <w:lang w:val="en-US" w:eastAsia="zh-CN"/>
        </w:rPr>
        <w:t>城</w:t>
      </w:r>
      <w:r>
        <w:rPr>
          <w:rFonts w:hint="eastAsia" w:ascii="仿宋_GB2312" w:hAnsi="仿宋_GB2312" w:eastAsia="仿宋_GB2312" w:cs="仿宋_GB2312"/>
          <w:sz w:val="32"/>
          <w:szCs w:val="32"/>
          <w:highlight w:val="none"/>
        </w:rPr>
        <w:t>区2021年</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2025年农村生活污水治理的近远期目标，明确各年度治理目标</w:t>
      </w:r>
      <w:r>
        <w:rPr>
          <w:rFonts w:hint="eastAsia" w:ascii="仿宋_GB2312" w:hAnsi="仿宋_GB2312" w:eastAsia="仿宋_GB2312" w:cs="仿宋_GB2312"/>
          <w:sz w:val="32"/>
          <w:szCs w:val="32"/>
          <w:highlight w:val="none"/>
          <w:lang w:val="en-US" w:eastAsia="zh-CN"/>
        </w:rPr>
        <w:t>如下</w:t>
      </w:r>
      <w:r>
        <w:rPr>
          <w:rFonts w:hint="eastAsia" w:ascii="仿宋_GB2312" w:hAnsi="仿宋_GB2312" w:eastAsia="仿宋_GB2312" w:cs="仿宋_GB2312"/>
          <w:sz w:val="32"/>
          <w:szCs w:val="32"/>
          <w:highlight w:val="none"/>
        </w:rPr>
        <w:t>。</w:t>
      </w:r>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到2021年底前，重点完成纳入民生实事的自然村，对城区内的农村生活污水现状开展全面摸排。</w:t>
      </w:r>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到</w:t>
      </w:r>
      <w:r>
        <w:rPr>
          <w:rFonts w:hint="eastAsia" w:ascii="仿宋_GB2312" w:hAnsi="仿宋_GB2312" w:eastAsia="仿宋_GB2312" w:cs="仿宋_GB2312"/>
          <w:sz w:val="32"/>
          <w:szCs w:val="32"/>
          <w:highlight w:val="none"/>
        </w:rPr>
        <w:t>2022年底</w:t>
      </w:r>
      <w:r>
        <w:rPr>
          <w:rFonts w:hint="eastAsia" w:ascii="仿宋_GB2312" w:hAnsi="仿宋_GB2312" w:eastAsia="仿宋_GB2312" w:cs="仿宋_GB2312"/>
          <w:sz w:val="32"/>
          <w:szCs w:val="32"/>
          <w:highlight w:val="none"/>
          <w:lang w:val="en-US" w:eastAsia="zh-CN"/>
        </w:rPr>
        <w:t>前</w:t>
      </w:r>
      <w:r>
        <w:rPr>
          <w:rFonts w:hint="eastAsia" w:ascii="仿宋_GB2312" w:hAnsi="仿宋_GB2312" w:eastAsia="仿宋_GB2312" w:cs="仿宋_GB2312"/>
          <w:sz w:val="32"/>
          <w:szCs w:val="32"/>
          <w:highlight w:val="none"/>
        </w:rPr>
        <w:t>，</w:t>
      </w:r>
      <w:r>
        <w:rPr>
          <w:rFonts w:hint="eastAsia" w:ascii="仿宋_GB2312" w:hAnsi="仿宋_GB2312" w:eastAsia="仿宋_GB2312" w:cs="仿宋_GB2312"/>
          <w:sz w:val="32"/>
          <w:szCs w:val="32"/>
          <w:highlight w:val="none"/>
          <w:lang w:val="en-US" w:eastAsia="zh-CN"/>
        </w:rPr>
        <w:t>基本完成管网提升改造工程（提升改造任务清单见附件4），农村生活污水治理率达到80％以上，基本完成</w:t>
      </w:r>
      <w:r>
        <w:rPr>
          <w:rFonts w:hint="eastAsia" w:ascii="仿宋_GB2312" w:hAnsi="仿宋_GB2312" w:eastAsia="仿宋_GB2312" w:cs="仿宋_GB2312"/>
          <w:sz w:val="32"/>
          <w:szCs w:val="32"/>
          <w:highlight w:val="none"/>
        </w:rPr>
        <w:t>农村生活污水运维管理办法的制定</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kern w:val="2"/>
          <w:sz w:val="32"/>
          <w:szCs w:val="32"/>
          <w:highlight w:val="none"/>
          <w:lang w:val="en-US" w:eastAsia="zh-CN" w:bidi="ar-SA"/>
        </w:rPr>
        <w:t>新增完成33个自然村的污水治理工作，其中25个自然村为管网提升改造工程（需建设雨污分流管网提升管网覆盖率），5个自然村采用资源利用模式，3个自然村采用建设设施模式（1个纳入市自然资源局蓝色海湾计划目前在建，2个拟接入所属行政村设施）。</w:t>
      </w:r>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到2023年，全面完成158个自然村的农村生活污水治理工作，治理率力争达到95%以上。新增13个自然村的污水治理工作，其中12个自然村采用纳厂模式，1个自然村采用资源化利用模式。</w:t>
      </w:r>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到2025年底前，查漏补缺，全面做到应接尽接，应收尽收，应治尽治，全区农村生活污水治理率达到100%，设施有效运行率达到95%以上，</w:t>
      </w:r>
      <w:r>
        <w:rPr>
          <w:rFonts w:hint="eastAsia" w:ascii="仿宋_GB2312" w:hAnsi="仿宋_GB2312" w:eastAsia="仿宋_GB2312" w:cs="仿宋_GB2312"/>
          <w:sz w:val="32"/>
          <w:szCs w:val="32"/>
          <w:highlight w:val="none"/>
        </w:rPr>
        <w:t>群众满意度达到</w:t>
      </w:r>
      <w:r>
        <w:rPr>
          <w:rFonts w:hint="eastAsia" w:ascii="仿宋_GB2312" w:hAnsi="仿宋_GB2312" w:eastAsia="仿宋_GB2312" w:cs="仿宋_GB2312"/>
          <w:sz w:val="32"/>
          <w:szCs w:val="32"/>
          <w:highlight w:val="none"/>
          <w:lang w:val="en-US" w:eastAsia="zh-CN"/>
        </w:rPr>
        <w:t>80</w:t>
      </w:r>
      <w:r>
        <w:rPr>
          <w:rFonts w:hint="eastAsia" w:ascii="仿宋_GB2312" w:hAnsi="仿宋_GB2312" w:eastAsia="仿宋_GB2312" w:cs="仿宋_GB2312"/>
          <w:sz w:val="32"/>
          <w:szCs w:val="32"/>
          <w:highlight w:val="none"/>
        </w:rPr>
        <w:t>%以上。</w:t>
      </w:r>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kern w:val="2"/>
          <w:sz w:val="32"/>
          <w:szCs w:val="32"/>
          <w:highlight w:val="none"/>
          <w:lang w:val="en-US" w:eastAsia="zh-CN" w:bidi="ar-SA"/>
        </w:rPr>
        <w:t>全区及各镇街分年度详细任务目标见附表1。</w:t>
      </w:r>
    </w:p>
    <w:p>
      <w:pPr>
        <w:pStyle w:val="5"/>
        <w:pageBreakBefore w:val="0"/>
        <w:kinsoku/>
        <w:wordWrap/>
        <w:overflowPunct/>
        <w:topLinePunct w:val="0"/>
        <w:autoSpaceDE/>
        <w:autoSpaceDN/>
        <w:bidi w:val="0"/>
        <w:spacing w:before="0" w:beforeAutospacing="0" w:after="0" w:line="520" w:lineRule="exact"/>
        <w:ind w:left="0" w:leftChars="0" w:firstLine="640" w:firstLineChars="200"/>
        <w:textAlignment w:val="auto"/>
        <w:rPr>
          <w:rFonts w:hint="eastAsia" w:ascii="楷体_GB2312" w:hAnsi="楷体_GB2312" w:eastAsia="楷体_GB2312" w:cs="楷体_GB2312"/>
          <w:b w:val="0"/>
          <w:bCs w:val="0"/>
          <w:sz w:val="32"/>
          <w:szCs w:val="32"/>
          <w:lang w:val="en-US" w:eastAsia="zh-CN"/>
        </w:rPr>
      </w:pPr>
      <w:bookmarkStart w:id="249" w:name="_Toc18618"/>
      <w:r>
        <w:rPr>
          <w:rFonts w:hint="eastAsia" w:ascii="楷体_GB2312" w:hAnsi="楷体_GB2312" w:eastAsia="楷体_GB2312" w:cs="楷体_GB2312"/>
          <w:b w:val="0"/>
          <w:bCs w:val="0"/>
          <w:sz w:val="32"/>
          <w:szCs w:val="32"/>
          <w:lang w:eastAsia="zh-CN"/>
        </w:rPr>
        <w:t>（三）</w:t>
      </w:r>
      <w:r>
        <w:rPr>
          <w:rFonts w:hint="eastAsia" w:ascii="楷体_GB2312" w:hAnsi="楷体_GB2312" w:eastAsia="楷体_GB2312" w:cs="楷体_GB2312"/>
          <w:b w:val="0"/>
          <w:bCs w:val="0"/>
          <w:sz w:val="32"/>
          <w:szCs w:val="32"/>
          <w:lang w:val="en-US" w:eastAsia="zh-CN"/>
        </w:rPr>
        <w:t>投资估算与资金筹措</w:t>
      </w:r>
      <w:bookmarkEnd w:id="249"/>
    </w:p>
    <w:p>
      <w:pPr>
        <w:pStyle w:val="6"/>
        <w:pageBreakBefore w:val="0"/>
        <w:kinsoku/>
        <w:wordWrap/>
        <w:overflowPunct/>
        <w:topLinePunct w:val="0"/>
        <w:autoSpaceDE/>
        <w:autoSpaceDN/>
        <w:bidi w:val="0"/>
        <w:spacing w:before="0" w:beforeAutospacing="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50" w:name="_Toc15892"/>
      <w:bookmarkStart w:id="251" w:name="_Toc4824"/>
      <w:bookmarkStart w:id="252" w:name="_Toc18957"/>
      <w:r>
        <w:rPr>
          <w:rFonts w:hint="eastAsia" w:ascii="仿宋_GB2312" w:hAnsi="仿宋_GB2312" w:eastAsia="仿宋_GB2312" w:cs="仿宋_GB2312"/>
          <w:sz w:val="32"/>
          <w:szCs w:val="32"/>
          <w:lang w:val="en-US" w:eastAsia="zh-CN"/>
        </w:rPr>
        <w:t>1.测算标准及依据</w:t>
      </w:r>
      <w:bookmarkEnd w:id="250"/>
      <w:bookmarkEnd w:id="251"/>
      <w:bookmarkEnd w:id="252"/>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rPr>
        <w:t>根据《农村生活污水处理项目建设与投资指南》（试行）、《小城镇污水处理工程建设标准》、《市政工程投资估算指标排水工程》（第四册）、规划文字说明图纸及有关技术资料、类似工程技术经济指标等相关文件中的投资估算指标，综合考虑工程项目的工艺、规模、数量等因素，需新建农村生活污水处理设施根据设施规模、处理工艺。排放标准及收集范围内管网情况综合计算，纳厂和已建站点扩面新增漏接农户的收集范围内管网情况综合计算，已建站点的提升改造则根据技术改造</w:t>
      </w:r>
      <w:r>
        <w:rPr>
          <w:rFonts w:hint="eastAsia" w:ascii="仿宋_GB2312" w:hAnsi="仿宋_GB2312" w:eastAsia="仿宋_GB2312" w:cs="仿宋_GB2312"/>
          <w:sz w:val="32"/>
          <w:szCs w:val="32"/>
          <w:highlight w:val="none"/>
          <w:shd w:val="clear" w:color="auto" w:fill="FFFFFF"/>
          <w:lang w:val="en-US" w:eastAsia="zh-CN"/>
        </w:rPr>
        <w:t>具体内容进行测算</w:t>
      </w:r>
      <w:r>
        <w:rPr>
          <w:rFonts w:hint="eastAsia" w:ascii="仿宋_GB2312" w:hAnsi="仿宋_GB2312" w:eastAsia="仿宋_GB2312" w:cs="仿宋_GB2312"/>
          <w:sz w:val="32"/>
          <w:szCs w:val="32"/>
          <w:highlight w:val="none"/>
          <w:shd w:val="clear" w:color="auto" w:fill="FFFFFF"/>
          <w:lang w:eastAsia="zh-CN"/>
        </w:rPr>
        <w:t>，</w:t>
      </w:r>
      <w:r>
        <w:rPr>
          <w:rFonts w:hint="eastAsia" w:ascii="仿宋_GB2312" w:hAnsi="仿宋_GB2312" w:eastAsia="仿宋_GB2312" w:cs="仿宋_GB2312"/>
          <w:sz w:val="32"/>
          <w:szCs w:val="32"/>
          <w:highlight w:val="none"/>
          <w:shd w:val="clear" w:color="auto" w:fill="FFFFFF"/>
          <w:lang w:val="en-US" w:eastAsia="zh-CN"/>
        </w:rPr>
        <w:t>并结合雨污分流管网建设标准以及城区无需新建设施的现状。测算标准如下：</w:t>
      </w:r>
    </w:p>
    <w:p>
      <w:pPr>
        <w:pStyle w:val="2"/>
        <w:pageBreakBefore w:val="0"/>
        <w:kinsoku/>
        <w:wordWrap/>
        <w:overflowPunct/>
        <w:topLinePunct w:val="0"/>
        <w:autoSpaceDE/>
        <w:autoSpaceDN/>
        <w:bidi w:val="0"/>
        <w:spacing w:beforeAutospacing="0" w:after="0" w:line="520" w:lineRule="exact"/>
        <w:ind w:left="0" w:leftChars="0"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新建污水治理工程（管网）投资按5500元/人测算；管网完善工程需结合目前污水收集范围确定需新增范围人口数，按5500元/人进行测算；管网修复工程和设施修复工程则需根据管网或设施的损坏程度，确定工程量系数进行测算。</w:t>
      </w:r>
    </w:p>
    <w:p>
      <w:pPr>
        <w:pageBreakBefore w:val="0"/>
        <w:kinsoku/>
        <w:wordWrap/>
        <w:overflowPunct/>
        <w:topLinePunct w:val="0"/>
        <w:autoSpaceDE/>
        <w:autoSpaceDN/>
        <w:bidi w:val="0"/>
        <w:spacing w:beforeAutospacing="0" w:line="520" w:lineRule="exact"/>
        <w:ind w:left="0" w:leftChars="0"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村庄生活污水资源化利用系统完善工程，包括污水存储、输送设施设备，按5万元/村计算；污水预处理设施及受纳体改造，按5万元/村计算；户用化粪池改造及接户，按照100元/人测算。详细计算方法如下：</w:t>
      </w:r>
    </w:p>
    <w:p>
      <w:pPr>
        <w:pageBreakBefore w:val="0"/>
        <w:kinsoku/>
        <w:wordWrap/>
        <w:overflowPunct/>
        <w:topLinePunct w:val="0"/>
        <w:autoSpaceDE/>
        <w:autoSpaceDN/>
        <w:bidi w:val="0"/>
        <w:spacing w:beforeAutospacing="0" w:line="520" w:lineRule="exact"/>
        <w:ind w:left="0" w:leftChars="0" w:firstLine="640" w:firstLineChars="200"/>
        <w:textAlignment w:val="auto"/>
        <w:rPr>
          <w:rFonts w:hint="eastAsia" w:ascii="仿宋_GB2312" w:hAnsi="仿宋_GB2312" w:eastAsia="仿宋_GB2312" w:cs="仿宋_GB2312"/>
          <w:i w:val="0"/>
          <w:iCs w:val="0"/>
          <w:kern w:val="2"/>
          <w:sz w:val="32"/>
          <w:szCs w:val="32"/>
          <w:highlight w:val="none"/>
          <w:shd w:val="clear" w:color="auto" w:fill="FFFFFF"/>
          <w:lang w:val="en-US" w:eastAsia="zh-CN" w:bidi="ar-SA"/>
        </w:rPr>
      </w:pPr>
      <w:r>
        <w:rPr>
          <w:rFonts w:hint="eastAsia" w:ascii="仿宋_GB2312" w:hAnsi="仿宋_GB2312" w:eastAsia="仿宋_GB2312" w:cs="仿宋_GB2312"/>
          <w:i w:val="0"/>
          <w:iCs w:val="0"/>
          <w:kern w:val="2"/>
          <w:sz w:val="32"/>
          <w:szCs w:val="32"/>
          <w:highlight w:val="none"/>
          <w:shd w:val="clear" w:color="auto" w:fill="FFFFFF"/>
          <w:lang w:val="en-US" w:eastAsia="zh-CN" w:bidi="ar-SA"/>
        </w:rPr>
        <w:t>资源化利用工程费用=10万元+常住人口×0.01万元/人；</w:t>
      </w:r>
    </w:p>
    <w:p>
      <w:pPr>
        <w:pageBreakBefore w:val="0"/>
        <w:kinsoku/>
        <w:wordWrap/>
        <w:overflowPunct/>
        <w:topLinePunct w:val="0"/>
        <w:autoSpaceDE/>
        <w:autoSpaceDN/>
        <w:bidi w:val="0"/>
        <w:spacing w:beforeAutospacing="0" w:line="520" w:lineRule="exact"/>
        <w:ind w:left="0" w:leftChars="0" w:firstLine="640" w:firstLineChars="200"/>
        <w:textAlignment w:val="auto"/>
        <w:rPr>
          <w:rFonts w:hint="eastAsia" w:ascii="仿宋_GB2312" w:hAnsi="仿宋_GB2312" w:eastAsia="仿宋_GB2312" w:cs="仿宋_GB2312"/>
          <w:i w:val="0"/>
          <w:iCs w:val="0"/>
          <w:kern w:val="2"/>
          <w:sz w:val="32"/>
          <w:szCs w:val="32"/>
          <w:highlight w:val="none"/>
          <w:shd w:val="clear" w:color="auto" w:fill="FFFFFF"/>
        </w:rPr>
      </w:pPr>
      <w:r>
        <w:rPr>
          <w:rFonts w:hint="eastAsia" w:ascii="仿宋_GB2312" w:hAnsi="仿宋_GB2312" w:eastAsia="仿宋_GB2312" w:cs="仿宋_GB2312"/>
          <w:i w:val="0"/>
          <w:iCs w:val="0"/>
          <w:kern w:val="2"/>
          <w:sz w:val="32"/>
          <w:szCs w:val="32"/>
          <w:highlight w:val="none"/>
          <w:shd w:val="clear" w:color="auto" w:fill="FFFFFF"/>
        </w:rPr>
        <w:t>管网</w:t>
      </w:r>
      <w:r>
        <w:rPr>
          <w:rFonts w:hint="eastAsia" w:ascii="仿宋_GB2312" w:hAnsi="仿宋_GB2312" w:eastAsia="仿宋_GB2312" w:cs="仿宋_GB2312"/>
          <w:i w:val="0"/>
          <w:iCs w:val="0"/>
          <w:kern w:val="2"/>
          <w:sz w:val="32"/>
          <w:szCs w:val="32"/>
          <w:highlight w:val="none"/>
          <w:shd w:val="clear" w:color="auto" w:fill="FFFFFF"/>
          <w:lang w:val="en-US" w:eastAsia="zh-CN"/>
        </w:rPr>
        <w:t>修复工程费用=</w:t>
      </w:r>
      <w:r>
        <w:rPr>
          <w:rFonts w:hint="eastAsia" w:ascii="仿宋_GB2312" w:hAnsi="仿宋_GB2312" w:eastAsia="仿宋_GB2312" w:cs="仿宋_GB2312"/>
          <w:i w:val="0"/>
          <w:iCs w:val="0"/>
          <w:kern w:val="2"/>
          <w:sz w:val="32"/>
          <w:szCs w:val="32"/>
          <w:highlight w:val="none"/>
          <w:shd w:val="clear" w:color="auto" w:fill="FFFFFF"/>
        </w:rPr>
        <w:t>0.</w:t>
      </w:r>
      <w:r>
        <w:rPr>
          <w:rFonts w:hint="eastAsia" w:ascii="仿宋_GB2312" w:hAnsi="仿宋_GB2312" w:eastAsia="仿宋_GB2312" w:cs="仿宋_GB2312"/>
          <w:i w:val="0"/>
          <w:iCs w:val="0"/>
          <w:kern w:val="2"/>
          <w:sz w:val="32"/>
          <w:szCs w:val="32"/>
          <w:highlight w:val="none"/>
          <w:shd w:val="clear" w:color="auto" w:fill="FFFFFF"/>
          <w:lang w:val="en-US" w:eastAsia="zh-CN"/>
        </w:rPr>
        <w:t>55</w:t>
      </w:r>
      <w:r>
        <w:rPr>
          <w:rFonts w:hint="eastAsia" w:ascii="仿宋_GB2312" w:hAnsi="仿宋_GB2312" w:eastAsia="仿宋_GB2312" w:cs="仿宋_GB2312"/>
          <w:i w:val="0"/>
          <w:iCs w:val="0"/>
          <w:kern w:val="2"/>
          <w:sz w:val="32"/>
          <w:szCs w:val="32"/>
          <w:highlight w:val="none"/>
          <w:shd w:val="clear" w:color="auto" w:fill="FFFFFF"/>
        </w:rPr>
        <w:t>万元/人</w:t>
      </w:r>
      <w:r>
        <w:rPr>
          <w:rFonts w:hint="eastAsia" w:ascii="仿宋_GB2312" w:hAnsi="仿宋_GB2312" w:eastAsia="仿宋_GB2312" w:cs="仿宋_GB2312"/>
          <w:i w:val="0"/>
          <w:iCs w:val="0"/>
          <w:kern w:val="2"/>
          <w:sz w:val="32"/>
          <w:szCs w:val="32"/>
          <w:highlight w:val="none"/>
          <w:shd w:val="clear" w:color="auto" w:fill="FFFFFF"/>
          <w:lang w:val="en-US" w:eastAsia="zh-CN" w:bidi="ar-SA"/>
        </w:rPr>
        <w:t>×</w:t>
      </w:r>
      <w:r>
        <w:rPr>
          <w:rFonts w:hint="eastAsia" w:ascii="仿宋_GB2312" w:hAnsi="仿宋_GB2312" w:eastAsia="仿宋_GB2312" w:cs="仿宋_GB2312"/>
          <w:i w:val="0"/>
          <w:iCs w:val="0"/>
          <w:kern w:val="2"/>
          <w:sz w:val="32"/>
          <w:szCs w:val="32"/>
          <w:highlight w:val="none"/>
          <w:shd w:val="clear" w:color="auto" w:fill="FFFFFF"/>
          <w:lang w:val="en-US" w:eastAsia="zh-CN"/>
        </w:rPr>
        <w:t>现有管网</w:t>
      </w:r>
      <w:r>
        <w:rPr>
          <w:rFonts w:hint="eastAsia" w:ascii="仿宋_GB2312" w:hAnsi="仿宋_GB2312" w:eastAsia="仿宋_GB2312" w:cs="仿宋_GB2312"/>
          <w:i w:val="0"/>
          <w:iCs w:val="0"/>
          <w:kern w:val="2"/>
          <w:sz w:val="32"/>
          <w:szCs w:val="32"/>
          <w:highlight w:val="none"/>
          <w:shd w:val="clear" w:color="auto" w:fill="FFFFFF"/>
        </w:rPr>
        <w:t>覆盖人数</w:t>
      </w:r>
      <w:r>
        <w:rPr>
          <w:rFonts w:hint="eastAsia" w:ascii="仿宋_GB2312" w:hAnsi="仿宋_GB2312" w:eastAsia="仿宋_GB2312" w:cs="仿宋_GB2312"/>
          <w:i w:val="0"/>
          <w:iCs w:val="0"/>
          <w:kern w:val="2"/>
          <w:sz w:val="32"/>
          <w:szCs w:val="32"/>
          <w:highlight w:val="none"/>
          <w:shd w:val="clear" w:color="auto" w:fill="FFFFFF"/>
          <w:lang w:val="en-US" w:eastAsia="zh-CN" w:bidi="ar-SA"/>
        </w:rPr>
        <w:t>×</w:t>
      </w:r>
      <w:r>
        <w:rPr>
          <w:rFonts w:hint="eastAsia" w:ascii="仿宋_GB2312" w:hAnsi="仿宋_GB2312" w:eastAsia="仿宋_GB2312" w:cs="仿宋_GB2312"/>
          <w:i w:val="0"/>
          <w:iCs w:val="0"/>
          <w:kern w:val="2"/>
          <w:sz w:val="32"/>
          <w:szCs w:val="32"/>
          <w:highlight w:val="none"/>
          <w:shd w:val="clear" w:color="auto" w:fill="FFFFFF"/>
        </w:rPr>
        <w:t>工程量系数</w:t>
      </w:r>
      <w:r>
        <w:rPr>
          <w:rFonts w:hint="eastAsia" w:ascii="仿宋_GB2312" w:hAnsi="仿宋_GB2312" w:eastAsia="仿宋_GB2312" w:cs="仿宋_GB2312"/>
          <w:i w:val="0"/>
          <w:iCs w:val="0"/>
          <w:kern w:val="2"/>
          <w:sz w:val="32"/>
          <w:szCs w:val="32"/>
          <w:highlight w:val="none"/>
          <w:shd w:val="clear" w:color="auto" w:fill="FFFFFF"/>
          <w:lang w:eastAsia="zh-CN"/>
        </w:rPr>
        <w:t>；</w:t>
      </w:r>
    </w:p>
    <w:p>
      <w:pPr>
        <w:pageBreakBefore w:val="0"/>
        <w:kinsoku/>
        <w:wordWrap/>
        <w:overflowPunct/>
        <w:topLinePunct w:val="0"/>
        <w:autoSpaceDE/>
        <w:autoSpaceDN/>
        <w:bidi w:val="0"/>
        <w:spacing w:beforeAutospacing="0" w:line="520" w:lineRule="exact"/>
        <w:ind w:left="0" w:leftChars="0" w:firstLine="640" w:firstLineChars="200"/>
        <w:textAlignment w:val="auto"/>
        <w:rPr>
          <w:rFonts w:hint="eastAsia" w:ascii="仿宋_GB2312" w:hAnsi="仿宋_GB2312" w:eastAsia="仿宋_GB2312" w:cs="仿宋_GB2312"/>
          <w:i w:val="0"/>
          <w:iCs w:val="0"/>
          <w:kern w:val="2"/>
          <w:sz w:val="32"/>
          <w:szCs w:val="32"/>
          <w:highlight w:val="none"/>
          <w:shd w:val="clear" w:color="auto" w:fill="FFFFFF"/>
        </w:rPr>
      </w:pPr>
      <w:r>
        <w:rPr>
          <w:rFonts w:hint="eastAsia" w:ascii="仿宋_GB2312" w:hAnsi="仿宋_GB2312" w:eastAsia="仿宋_GB2312" w:cs="仿宋_GB2312"/>
          <w:i w:val="0"/>
          <w:iCs w:val="0"/>
          <w:kern w:val="2"/>
          <w:sz w:val="32"/>
          <w:szCs w:val="32"/>
          <w:highlight w:val="none"/>
          <w:shd w:val="clear" w:color="auto" w:fill="FFFFFF"/>
          <w:lang w:val="en-US" w:eastAsia="zh-CN"/>
        </w:rPr>
        <w:t>管网完善费用=0.55</w:t>
      </w:r>
      <w:r>
        <w:rPr>
          <w:rFonts w:hint="eastAsia" w:ascii="仿宋_GB2312" w:hAnsi="仿宋_GB2312" w:eastAsia="仿宋_GB2312" w:cs="仿宋_GB2312"/>
          <w:i w:val="0"/>
          <w:iCs w:val="0"/>
          <w:kern w:val="2"/>
          <w:sz w:val="32"/>
          <w:szCs w:val="32"/>
          <w:highlight w:val="none"/>
          <w:shd w:val="clear" w:color="auto" w:fill="FFFFFF"/>
        </w:rPr>
        <w:t>万元/人</w:t>
      </w:r>
      <w:r>
        <w:rPr>
          <w:rFonts w:hint="eastAsia" w:ascii="仿宋_GB2312" w:hAnsi="仿宋_GB2312" w:eastAsia="仿宋_GB2312" w:cs="仿宋_GB2312"/>
          <w:i w:val="0"/>
          <w:iCs w:val="0"/>
          <w:kern w:val="2"/>
          <w:sz w:val="32"/>
          <w:szCs w:val="32"/>
          <w:highlight w:val="none"/>
          <w:shd w:val="clear" w:color="auto" w:fill="FFFFFF"/>
          <w:lang w:val="en-US" w:eastAsia="zh-CN" w:bidi="ar-SA"/>
        </w:rPr>
        <w:t>×</w:t>
      </w:r>
      <w:r>
        <w:rPr>
          <w:rFonts w:hint="eastAsia" w:ascii="仿宋_GB2312" w:hAnsi="仿宋_GB2312" w:eastAsia="仿宋_GB2312" w:cs="仿宋_GB2312"/>
          <w:i w:val="0"/>
          <w:iCs w:val="0"/>
          <w:kern w:val="2"/>
          <w:sz w:val="32"/>
          <w:szCs w:val="32"/>
          <w:highlight w:val="none"/>
          <w:shd w:val="clear" w:color="auto" w:fill="FFFFFF"/>
          <w:lang w:val="en-US" w:eastAsia="zh-CN"/>
        </w:rPr>
        <w:t>新增管网</w:t>
      </w:r>
      <w:r>
        <w:rPr>
          <w:rFonts w:hint="eastAsia" w:ascii="仿宋_GB2312" w:hAnsi="仿宋_GB2312" w:eastAsia="仿宋_GB2312" w:cs="仿宋_GB2312"/>
          <w:i w:val="0"/>
          <w:iCs w:val="0"/>
          <w:kern w:val="2"/>
          <w:sz w:val="32"/>
          <w:szCs w:val="32"/>
          <w:highlight w:val="none"/>
          <w:shd w:val="clear" w:color="auto" w:fill="FFFFFF"/>
        </w:rPr>
        <w:t>覆盖人数</w:t>
      </w:r>
      <w:r>
        <w:rPr>
          <w:rFonts w:hint="eastAsia" w:ascii="仿宋_GB2312" w:hAnsi="仿宋_GB2312" w:eastAsia="仿宋_GB2312" w:cs="仿宋_GB2312"/>
          <w:i w:val="0"/>
          <w:iCs w:val="0"/>
          <w:kern w:val="2"/>
          <w:sz w:val="32"/>
          <w:szCs w:val="32"/>
          <w:highlight w:val="none"/>
          <w:shd w:val="clear" w:color="auto" w:fill="FFFFFF"/>
          <w:lang w:eastAsia="zh-CN"/>
        </w:rPr>
        <w:t>；</w:t>
      </w:r>
    </w:p>
    <w:p>
      <w:pPr>
        <w:pStyle w:val="6"/>
        <w:pageBreakBefore w:val="0"/>
        <w:kinsoku/>
        <w:wordWrap/>
        <w:overflowPunct/>
        <w:topLinePunct w:val="0"/>
        <w:autoSpaceDE/>
        <w:autoSpaceDN/>
        <w:bidi w:val="0"/>
        <w:spacing w:before="0" w:beforeAutospacing="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53" w:name="_Toc2332"/>
      <w:bookmarkStart w:id="254" w:name="_Toc809"/>
      <w:bookmarkStart w:id="255" w:name="_Toc23452"/>
      <w:r>
        <w:rPr>
          <w:rFonts w:hint="eastAsia" w:ascii="仿宋_GB2312" w:hAnsi="仿宋_GB2312" w:eastAsia="仿宋_GB2312" w:cs="仿宋_GB2312"/>
          <w:sz w:val="32"/>
          <w:szCs w:val="32"/>
          <w:lang w:val="en-US" w:eastAsia="zh-CN"/>
        </w:rPr>
        <w:t>2.老旧设施或管网改造投资估算</w:t>
      </w:r>
      <w:bookmarkEnd w:id="253"/>
      <w:bookmarkEnd w:id="254"/>
      <w:bookmarkEnd w:id="255"/>
    </w:p>
    <w:p>
      <w:pPr>
        <w:pageBreakBefore w:val="0"/>
        <w:kinsoku/>
        <w:wordWrap/>
        <w:overflowPunct/>
        <w:topLinePunct w:val="0"/>
        <w:autoSpaceDE/>
        <w:autoSpaceDN/>
        <w:bidi w:val="0"/>
        <w:spacing w:beforeAutospacing="0" w:line="520" w:lineRule="exact"/>
        <w:ind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根据现场排查，全区共有103个自然村污水处理设施或管网需要进一步修复完善或提升改造，重点完善居住集中、人口规模大的村庄管网，提升管网覆盖率及接户率。对废弃或损坏闲置、施工停滞的设施以及处理规模不符、成效较差的设施进行修复或重建；对破损严重、错接漏接的管网进行修复。</w:t>
      </w:r>
    </w:p>
    <w:p>
      <w:pPr>
        <w:pStyle w:val="2"/>
        <w:rPr>
          <w:rFonts w:hint="eastAsia" w:ascii="仿宋_GB2312" w:hAnsi="仿宋_GB2312" w:eastAsia="仿宋_GB2312" w:cs="仿宋_GB2312"/>
          <w:kern w:val="2"/>
          <w:sz w:val="32"/>
          <w:szCs w:val="32"/>
          <w:highlight w:val="none"/>
          <w:shd w:val="clear" w:color="auto" w:fill="FFFFFF"/>
          <w:lang w:val="en-US" w:eastAsia="zh-CN" w:bidi="ar-SA"/>
        </w:rPr>
      </w:pPr>
    </w:p>
    <w:p>
      <w:pPr>
        <w:pStyle w:val="2"/>
        <w:pageBreakBefore w:val="0"/>
        <w:kinsoku/>
        <w:wordWrap/>
        <w:overflowPunct/>
        <w:topLinePunct w:val="0"/>
        <w:autoSpaceDE/>
        <w:autoSpaceDN/>
        <w:bidi w:val="0"/>
        <w:spacing w:beforeAutospacing="0" w:after="0" w:line="520" w:lineRule="exact"/>
        <w:ind w:left="0" w:leftChars="0" w:right="0" w:rightChars="0" w:firstLine="643" w:firstLineChars="200"/>
        <w:jc w:val="both"/>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表4-19 城区老旧设施及管网提升改造资金估算表</w:t>
      </w:r>
    </w:p>
    <w:tbl>
      <w:tblPr>
        <w:tblStyle w:val="20"/>
        <w:tblW w:w="4903" w:type="pct"/>
        <w:tblInd w:w="9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11"/>
        <w:gridCol w:w="1224"/>
        <w:gridCol w:w="1399"/>
        <w:gridCol w:w="2528"/>
        <w:gridCol w:w="24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3" w:hRule="atLeast"/>
        </w:trPr>
        <w:tc>
          <w:tcPr>
            <w:tcW w:w="42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序号</w:t>
            </w:r>
          </w:p>
        </w:tc>
        <w:tc>
          <w:tcPr>
            <w:tcW w:w="7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镇（街道）</w:t>
            </w:r>
          </w:p>
        </w:tc>
        <w:tc>
          <w:tcPr>
            <w:tcW w:w="83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自然村数量</w:t>
            </w:r>
          </w:p>
        </w:tc>
        <w:tc>
          <w:tcPr>
            <w:tcW w:w="3005"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提升改造工程资金估算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7" w:hRule="atLeast"/>
        </w:trPr>
        <w:tc>
          <w:tcPr>
            <w:tcW w:w="4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7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83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5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管网修复工程资金估算</w:t>
            </w:r>
          </w:p>
        </w:tc>
        <w:tc>
          <w:tcPr>
            <w:tcW w:w="149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设施改造工程资金估算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红草镇</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38</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3693.49</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捷胜镇</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23</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2256.32</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东涌镇</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22</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5031.58</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马宫街道</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18</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1728.06</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1"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香洲街道</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highlight w:val="none"/>
                <w:u w:val="none"/>
                <w:lang w:val="en-US" w:eastAsia="zh-CN" w:bidi="ar-SA"/>
              </w:rPr>
            </w:pPr>
            <w:r>
              <w:rPr>
                <w:rFonts w:hint="eastAsia" w:ascii="仿宋_GB2312" w:hAnsi="仿宋_GB2312" w:eastAsia="仿宋_GB2312" w:cs="仿宋_GB2312"/>
                <w:i w:val="0"/>
                <w:iCs w:val="0"/>
                <w:color w:val="000000"/>
                <w:kern w:val="2"/>
                <w:sz w:val="21"/>
                <w:szCs w:val="21"/>
                <w:highlight w:val="none"/>
                <w:u w:val="none"/>
                <w:lang w:val="en-US" w:eastAsia="zh-CN" w:bidi="ar-SA"/>
              </w:rPr>
              <w:t>224.89</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2" w:hRule="atLeast"/>
        </w:trPr>
        <w:tc>
          <w:tcPr>
            <w:tcW w:w="4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6</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总计</w:t>
            </w:r>
          </w:p>
        </w:tc>
        <w:tc>
          <w:tcPr>
            <w:tcW w:w="8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103</w:t>
            </w:r>
          </w:p>
        </w:tc>
        <w:tc>
          <w:tcPr>
            <w:tcW w:w="15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12934.34</w:t>
            </w:r>
          </w:p>
        </w:tc>
        <w:tc>
          <w:tcPr>
            <w:tcW w:w="14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highlight w:val="none"/>
                <w:u w:val="none"/>
                <w:lang w:val="en-US" w:eastAsia="zh-CN" w:bidi="ar-SA"/>
              </w:rPr>
            </w:pPr>
          </w:p>
        </w:tc>
      </w:tr>
    </w:tbl>
    <w:p>
      <w:pPr>
        <w:pageBreakBefore w:val="0"/>
        <w:widowControl w:val="0"/>
        <w:kinsoku/>
        <w:wordWrap/>
        <w:overflowPunct/>
        <w:topLinePunct w:val="0"/>
        <w:autoSpaceDE/>
        <w:autoSpaceDN/>
        <w:bidi w:val="0"/>
        <w:snapToGrid/>
        <w:spacing w:line="520" w:lineRule="exact"/>
        <w:ind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综上所述，完成全区老旧设施或管网提升改造工程共需费用约12934.34万元，详见附表3。</w:t>
      </w:r>
    </w:p>
    <w:p>
      <w:pPr>
        <w:pStyle w:val="6"/>
        <w:pageBreakBefore w:val="0"/>
        <w:widowControl w:val="0"/>
        <w:kinsoku/>
        <w:wordWrap/>
        <w:overflowPunct/>
        <w:topLinePunct w:val="0"/>
        <w:autoSpaceDE/>
        <w:autoSpaceDN/>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56" w:name="_Toc17762"/>
      <w:bookmarkStart w:id="257" w:name="_Toc31907"/>
      <w:bookmarkStart w:id="258" w:name="_Toc6565"/>
      <w:r>
        <w:rPr>
          <w:rFonts w:hint="eastAsia" w:ascii="仿宋_GB2312" w:hAnsi="仿宋_GB2312" w:eastAsia="仿宋_GB2312" w:cs="仿宋_GB2312"/>
          <w:sz w:val="32"/>
          <w:szCs w:val="32"/>
          <w:lang w:val="en-US" w:eastAsia="zh-CN"/>
        </w:rPr>
        <w:t>3.新增治理工程投资估算</w:t>
      </w:r>
      <w:bookmarkEnd w:id="256"/>
      <w:bookmarkEnd w:id="257"/>
      <w:bookmarkEnd w:id="258"/>
    </w:p>
    <w:p>
      <w:pPr>
        <w:pageBreakBefore w:val="0"/>
        <w:widowControl w:val="0"/>
        <w:kinsoku/>
        <w:wordWrap/>
        <w:overflowPunct/>
        <w:topLinePunct w:val="0"/>
        <w:autoSpaceDE/>
        <w:autoSpaceDN/>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全区共有19个自然村需开展农村生活污水治理工作（8个为2022年完成，11个为2023年完成），共需投入资金约2484.33万元，其中采用纳厂模式的自然村10个，需投入资金2328.7万元；采用建设设施模式的自然村3个（其中的小岛村纳入市自然资源局蓝色海湾计划，建设资金不纳入本次估算，另外2个自然村均纳入其所属行政村内的设施，无需新建设施），需投入资金91.3万元；采用资源化利用模式的自然村6各，需投入资金65.33万元。</w:t>
      </w:r>
    </w:p>
    <w:p>
      <w:pPr>
        <w:pStyle w:val="6"/>
        <w:pageBreakBefore w:val="0"/>
        <w:widowControl w:val="0"/>
        <w:kinsoku/>
        <w:wordWrap/>
        <w:overflowPunct/>
        <w:topLinePunct w:val="0"/>
        <w:autoSpaceDE/>
        <w:autoSpaceDN/>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59" w:name="_Toc9014"/>
      <w:bookmarkStart w:id="260" w:name="_Toc14877"/>
      <w:bookmarkStart w:id="261" w:name="_Toc20364"/>
      <w:r>
        <w:rPr>
          <w:rFonts w:hint="eastAsia" w:ascii="仿宋_GB2312" w:hAnsi="仿宋_GB2312" w:eastAsia="仿宋_GB2312" w:cs="仿宋_GB2312"/>
          <w:sz w:val="32"/>
          <w:szCs w:val="32"/>
          <w:lang w:val="en-US" w:eastAsia="zh-CN"/>
        </w:rPr>
        <w:t>4.运维管理经费估算</w:t>
      </w:r>
      <w:bookmarkEnd w:id="259"/>
      <w:bookmarkEnd w:id="260"/>
      <w:bookmarkEnd w:id="261"/>
    </w:p>
    <w:p>
      <w:pPr>
        <w:pageBreakBefore w:val="0"/>
        <w:widowControl w:val="0"/>
        <w:kinsoku/>
        <w:wordWrap/>
        <w:overflowPunct/>
        <w:topLinePunct w:val="0"/>
        <w:autoSpaceDE/>
        <w:autoSpaceDN/>
        <w:bidi w:val="0"/>
        <w:adjustRightInd w:val="0"/>
        <w:snapToGrid/>
        <w:spacing w:line="520" w:lineRule="exact"/>
        <w:ind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sz w:val="32"/>
          <w:szCs w:val="32"/>
          <w:highlight w:val="none"/>
          <w:lang w:val="en-US" w:eastAsia="zh-CN"/>
        </w:rPr>
        <w:t>城区目前158个自然村共建有58座设施，其中13座是由9个省定贫困村项目建成，合计处理规模1030t/d。42座设施由城区农村生活污水治理工程PPP项目建成，合计处理规模2550t/d。另新地村建有一座350t/d的污水处理设施，卢列坑村建有两座处理规模为10t/d的人工湿地。58座设施处理规模合计为3950t/d。</w:t>
      </w:r>
    </w:p>
    <w:p>
      <w:pPr>
        <w:pageBreakBefore w:val="0"/>
        <w:widowControl w:val="0"/>
        <w:kinsoku/>
        <w:wordWrap/>
        <w:overflowPunct/>
        <w:topLinePunct w:val="0"/>
        <w:autoSpaceDE/>
        <w:autoSpaceDN/>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lang w:val="en-US" w:eastAsia="zh-CN"/>
        </w:rPr>
      </w:pPr>
      <w:r>
        <w:rPr>
          <w:rFonts w:hint="eastAsia" w:ascii="仿宋_GB2312" w:hAnsi="仿宋_GB2312" w:eastAsia="仿宋_GB2312" w:cs="仿宋_GB2312"/>
          <w:sz w:val="32"/>
          <w:szCs w:val="32"/>
          <w:highlight w:val="none"/>
          <w:lang w:val="en-US" w:eastAsia="zh-CN"/>
        </w:rPr>
        <w:t>因城区所有已建设施及主管网均已签订运维管理合同，</w:t>
      </w:r>
      <w:r>
        <w:rPr>
          <w:rFonts w:hint="eastAsia" w:ascii="仿宋_GB2312" w:hAnsi="仿宋_GB2312" w:eastAsia="仿宋_GB2312" w:cs="仿宋_GB2312"/>
          <w:sz w:val="32"/>
          <w:szCs w:val="32"/>
          <w:highlight w:val="none"/>
        </w:rPr>
        <w:t>根据</w:t>
      </w:r>
      <w:r>
        <w:rPr>
          <w:rFonts w:hint="eastAsia" w:ascii="仿宋_GB2312" w:hAnsi="仿宋_GB2312" w:eastAsia="仿宋_GB2312" w:cs="仿宋_GB2312"/>
          <w:sz w:val="32"/>
          <w:szCs w:val="32"/>
          <w:highlight w:val="none"/>
          <w:lang w:val="en-US" w:eastAsia="zh-CN"/>
        </w:rPr>
        <w:t>城区农村生活污水运维管理合同规定，9个省定贫困村污水处理设施每年运维费用为109.36万元/年，PPP项目新建的42座设施污水处理单价为1.49元/吨。新地村已建成的设施经实地调研并结合城区实际以1.49元/吨进行估算。而城区雨污分流管网建设完成后经建设单位保修一年后交付镇街自行运维，运维费用不纳入费用预算中，详见下表。</w:t>
      </w:r>
    </w:p>
    <w:p>
      <w:pPr>
        <w:pStyle w:val="2"/>
        <w:pageBreakBefore w:val="0"/>
        <w:widowControl w:val="0"/>
        <w:kinsoku/>
        <w:wordWrap/>
        <w:overflowPunct/>
        <w:topLinePunct w:val="0"/>
        <w:autoSpaceDE/>
        <w:autoSpaceDN/>
        <w:bidi w:val="0"/>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sz w:val="32"/>
          <w:szCs w:val="32"/>
          <w:lang w:val="en-US"/>
        </w:rPr>
      </w:pPr>
      <w:r>
        <w:rPr>
          <w:rFonts w:hint="eastAsia" w:ascii="仿宋_GB2312" w:hAnsi="仿宋_GB2312" w:eastAsia="仿宋_GB2312" w:cs="仿宋_GB2312"/>
          <w:b/>
          <w:bCs/>
          <w:kern w:val="2"/>
          <w:sz w:val="32"/>
          <w:szCs w:val="32"/>
          <w:highlight w:val="none"/>
          <w:lang w:val="en-US" w:eastAsia="zh-CN"/>
        </w:rPr>
        <w:t>表4-19 城区“十四五”农村生活污水运维管理费用估算</w:t>
      </w:r>
    </w:p>
    <w:tbl>
      <w:tblPr>
        <w:tblStyle w:val="21"/>
        <w:tblW w:w="89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2"/>
        <w:gridCol w:w="1431"/>
        <w:gridCol w:w="1467"/>
        <w:gridCol w:w="1395"/>
        <w:gridCol w:w="1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项目名称</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建设设施数量（座）</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合计处理规模（t/d）</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运维费用估算（万元/年）</w:t>
            </w:r>
          </w:p>
        </w:tc>
        <w:tc>
          <w:tcPr>
            <w:tcW w:w="182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城区 9 个省定贫困村农村污水治理工程</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1030</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109.36</w:t>
            </w:r>
          </w:p>
        </w:tc>
        <w:tc>
          <w:tcPr>
            <w:tcW w:w="182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共建成14座设施，合计处理1530t/d，后捷胜镇有一座500t/d的设施并入捷胜镇城镇污水处理厂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城区农村生活污水治理工程PPP项目</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2570</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427.96</w:t>
            </w:r>
          </w:p>
        </w:tc>
        <w:tc>
          <w:tcPr>
            <w:tcW w:w="182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以城区PPP项目建成设施实际运维费用为准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东涌镇新地村农村生活污水治理工程</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37.16</w:t>
            </w:r>
          </w:p>
        </w:tc>
        <w:tc>
          <w:tcPr>
            <w:tcW w:w="1828" w:type="dxa"/>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以省定贫困村污水处理设施标准进行估算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凤山街道卢列坑村人工湿地</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0</w:t>
            </w:r>
          </w:p>
        </w:tc>
        <w:tc>
          <w:tcPr>
            <w:tcW w:w="182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村镇自行运维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2"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262" w:name="_Toc28914"/>
            <w:bookmarkStart w:id="263" w:name="_Toc28387"/>
            <w:r>
              <w:rPr>
                <w:rFonts w:hint="eastAsia" w:ascii="仿宋_GB2312" w:hAnsi="仿宋_GB2312" w:eastAsia="仿宋_GB2312" w:cs="仿宋_GB2312"/>
                <w:i w:val="0"/>
                <w:iCs w:val="0"/>
                <w:color w:val="000000"/>
                <w:kern w:val="0"/>
                <w:sz w:val="21"/>
                <w:szCs w:val="21"/>
                <w:u w:val="none"/>
                <w:lang w:val="en-US" w:eastAsia="zh-CN" w:bidi="ar"/>
              </w:rPr>
              <w:t>合计</w:t>
            </w:r>
          </w:p>
        </w:tc>
        <w:tc>
          <w:tcPr>
            <w:tcW w:w="1431"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w:t>
            </w:r>
          </w:p>
        </w:tc>
        <w:tc>
          <w:tcPr>
            <w:tcW w:w="146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3950</w:t>
            </w:r>
          </w:p>
        </w:tc>
        <w:tc>
          <w:tcPr>
            <w:tcW w:w="13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574.48</w:t>
            </w:r>
          </w:p>
        </w:tc>
        <w:tc>
          <w:tcPr>
            <w:tcW w:w="182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bl>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64" w:name="_Toc24458"/>
      <w:r>
        <w:rPr>
          <w:rFonts w:hint="eastAsia" w:ascii="仿宋_GB2312" w:hAnsi="仿宋_GB2312" w:eastAsia="仿宋_GB2312" w:cs="仿宋_GB2312"/>
          <w:sz w:val="32"/>
          <w:szCs w:val="32"/>
          <w:lang w:val="en-US" w:eastAsia="zh-CN"/>
        </w:rPr>
        <w:t>5.工程实施及资金筹措</w:t>
      </w:r>
      <w:bookmarkEnd w:id="262"/>
      <w:bookmarkEnd w:id="263"/>
      <w:bookmarkEnd w:id="264"/>
    </w:p>
    <w:p>
      <w:pPr>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265" w:name="_Toc6251"/>
      <w:bookmarkStart w:id="266" w:name="_Toc9306"/>
      <w:r>
        <w:rPr>
          <w:rFonts w:hint="eastAsia" w:ascii="仿宋_GB2312" w:hAnsi="仿宋_GB2312" w:eastAsia="仿宋_GB2312" w:cs="仿宋_GB2312"/>
          <w:b/>
          <w:bCs/>
          <w:sz w:val="32"/>
          <w:szCs w:val="32"/>
          <w:highlight w:val="none"/>
          <w:lang w:val="en-US" w:eastAsia="zh-CN"/>
        </w:rPr>
        <w:t>（1）工程实施模式选择</w:t>
      </w:r>
      <w:bookmarkEnd w:id="265"/>
      <w:bookmarkEnd w:id="266"/>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kern w:val="0"/>
          <w:sz w:val="32"/>
          <w:szCs w:val="32"/>
          <w:highlight w:val="none"/>
          <w:lang w:val="en-US" w:eastAsia="zh-CN"/>
        </w:rPr>
      </w:pPr>
      <w:r>
        <w:rPr>
          <w:rFonts w:hint="eastAsia" w:ascii="仿宋_GB2312" w:hAnsi="仿宋_GB2312" w:eastAsia="仿宋_GB2312" w:cs="仿宋_GB2312"/>
          <w:kern w:val="0"/>
          <w:sz w:val="32"/>
          <w:szCs w:val="32"/>
          <w:highlight w:val="none"/>
          <w:lang w:val="en-US" w:eastAsia="zh-CN"/>
        </w:rPr>
        <w:t>目前，广东省农村生活污水治理工程的实施主要采用EPC、DBB、BOT和PPP模式。PPP模式是指政府、私人企业基于某个项目而形成的相互间合作关系的一种特许经营项目融资模式。地方政府引入社会资本开展农村生活污水治理的主要形式，项目公司负责筹资、建设与经营，政府部门按年度支付费用。在农村生活污水治理领域已得到广泛应用，大多体现为整县（区）或整个片区推进，短期内能有效缓解地方财政压力，但也会增加隐形债务风险。</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kern w:val="0"/>
          <w:sz w:val="32"/>
          <w:szCs w:val="32"/>
          <w:highlight w:val="none"/>
          <w:lang w:val="en-US" w:eastAsia="zh-CN"/>
        </w:rPr>
      </w:pPr>
      <w:r>
        <w:rPr>
          <w:rFonts w:hint="eastAsia" w:ascii="仿宋_GB2312" w:hAnsi="仿宋_GB2312" w:eastAsia="仿宋_GB2312" w:cs="仿宋_GB2312"/>
          <w:kern w:val="0"/>
          <w:sz w:val="32"/>
          <w:szCs w:val="32"/>
          <w:highlight w:val="none"/>
          <w:lang w:val="en-US" w:eastAsia="zh-CN"/>
        </w:rPr>
        <w:t>结合城区治理现状，目前已通过PPP模式完成污水处理设施及污水主管网建设，另通过EPC模式稳步推进城区自然村雨污分流管网建设，目前治理成效较好，后续建设项目稳步推进PPP项目和EPC项目。</w:t>
      </w:r>
    </w:p>
    <w:p>
      <w:pPr>
        <w:pageBreakBefore w:val="0"/>
        <w:widowControl/>
        <w:numPr>
          <w:ilvl w:val="0"/>
          <w:numId w:val="0"/>
        </w:numPr>
        <w:tabs>
          <w:tab w:val="left" w:pos="547"/>
          <w:tab w:val="left" w:pos="1080"/>
        </w:tabs>
        <w:kinsoku/>
        <w:wordWrap/>
        <w:overflowPunct/>
        <w:topLinePunct w:val="0"/>
        <w:bidi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bookmarkStart w:id="267" w:name="_Toc10568"/>
      <w:bookmarkStart w:id="268" w:name="_Toc30315"/>
      <w:r>
        <w:rPr>
          <w:rFonts w:hint="eastAsia" w:ascii="仿宋_GB2312" w:hAnsi="仿宋_GB2312" w:eastAsia="仿宋_GB2312" w:cs="仿宋_GB2312"/>
          <w:b/>
          <w:bCs/>
          <w:sz w:val="32"/>
          <w:szCs w:val="32"/>
          <w:highlight w:val="none"/>
          <w:lang w:val="en-US" w:eastAsia="zh-CN"/>
        </w:rPr>
        <w:t>（2）建设及运维资金筹措</w:t>
      </w:r>
      <w:bookmarkEnd w:id="267"/>
      <w:bookmarkEnd w:id="268"/>
    </w:p>
    <w:p>
      <w:pPr>
        <w:pStyle w:val="2"/>
        <w:pageBreakBefore w:val="0"/>
        <w:kinsoku/>
        <w:wordWrap/>
        <w:overflowPunct/>
        <w:topLinePunct w:val="0"/>
        <w:bidi w:val="0"/>
        <w:snapToGrid/>
        <w:spacing w:after="0" w:line="520" w:lineRule="exact"/>
        <w:ind w:left="0" w:leftChars="0"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0"/>
          <w:sz w:val="32"/>
          <w:szCs w:val="32"/>
          <w:highlight w:val="none"/>
          <w:lang w:val="en-US" w:eastAsia="zh-CN"/>
        </w:rPr>
        <w:t>为</w:t>
      </w:r>
      <w:r>
        <w:rPr>
          <w:rFonts w:hint="eastAsia" w:ascii="仿宋_GB2312" w:hAnsi="仿宋_GB2312" w:eastAsia="仿宋_GB2312" w:cs="仿宋_GB2312"/>
          <w:kern w:val="0"/>
          <w:sz w:val="32"/>
          <w:szCs w:val="32"/>
          <w:highlight w:val="none"/>
        </w:rPr>
        <w:t>维持污水处理设施的长期有效运行，要长期稳定的资金投入，以满足污水处理系统运行的日常维护和定期检查工作所需。为了确保运维工作的持续顺利开展，应建立</w:t>
      </w:r>
      <w:r>
        <w:rPr>
          <w:rFonts w:hint="eastAsia" w:ascii="仿宋_GB2312" w:hAnsi="仿宋_GB2312" w:eastAsia="仿宋_GB2312" w:cs="仿宋_GB2312"/>
          <w:kern w:val="0"/>
          <w:sz w:val="32"/>
          <w:szCs w:val="32"/>
          <w:highlight w:val="none"/>
          <w:lang w:eastAsia="zh-CN"/>
        </w:rPr>
        <w:t>“</w:t>
      </w:r>
      <w:r>
        <w:rPr>
          <w:rFonts w:hint="eastAsia" w:ascii="仿宋_GB2312" w:hAnsi="仿宋_GB2312" w:eastAsia="仿宋_GB2312" w:cs="仿宋_GB2312"/>
          <w:kern w:val="0"/>
          <w:sz w:val="32"/>
          <w:szCs w:val="32"/>
          <w:highlight w:val="none"/>
        </w:rPr>
        <w:t>政府扶持、群众自筹、社会参与</w:t>
      </w:r>
      <w:r>
        <w:rPr>
          <w:rFonts w:hint="eastAsia" w:ascii="仿宋_GB2312" w:hAnsi="仿宋_GB2312" w:eastAsia="仿宋_GB2312" w:cs="仿宋_GB2312"/>
          <w:kern w:val="0"/>
          <w:sz w:val="32"/>
          <w:szCs w:val="32"/>
          <w:highlight w:val="none"/>
          <w:lang w:eastAsia="zh-CN"/>
        </w:rPr>
        <w:t>”</w:t>
      </w:r>
      <w:r>
        <w:rPr>
          <w:rFonts w:hint="eastAsia" w:ascii="仿宋_GB2312" w:hAnsi="仿宋_GB2312" w:eastAsia="仿宋_GB2312" w:cs="仿宋_GB2312"/>
          <w:kern w:val="0"/>
          <w:sz w:val="32"/>
          <w:szCs w:val="32"/>
          <w:highlight w:val="none"/>
        </w:rPr>
        <w:t>的资金筹措机制。区级财政应把农村生活污水处理设施运维管理经费纳入年度预算，建立专项资金</w:t>
      </w:r>
      <w:r>
        <w:rPr>
          <w:rFonts w:hint="eastAsia" w:ascii="仿宋_GB2312" w:hAnsi="仿宋_GB2312" w:eastAsia="仿宋_GB2312" w:cs="仿宋_GB2312"/>
          <w:kern w:val="0"/>
          <w:sz w:val="32"/>
          <w:szCs w:val="32"/>
          <w:highlight w:val="none"/>
          <w:lang w:eastAsia="zh-CN"/>
        </w:rPr>
        <w:t>；</w:t>
      </w:r>
      <w:r>
        <w:rPr>
          <w:rFonts w:hint="eastAsia" w:ascii="仿宋_GB2312" w:hAnsi="仿宋_GB2312" w:eastAsia="仿宋_GB2312" w:cs="仿宋_GB2312"/>
          <w:kern w:val="0"/>
          <w:sz w:val="32"/>
          <w:szCs w:val="32"/>
          <w:highlight w:val="none"/>
        </w:rPr>
        <w:t>探索建立农村生活污水处理收费制度，鼓励各地</w:t>
      </w:r>
      <w:r>
        <w:rPr>
          <w:rFonts w:hint="eastAsia" w:ascii="仿宋_GB2312" w:hAnsi="仿宋_GB2312" w:eastAsia="仿宋_GB2312" w:cs="仿宋_GB2312"/>
          <w:kern w:val="0"/>
          <w:sz w:val="32"/>
          <w:szCs w:val="32"/>
          <w:highlight w:val="none"/>
          <w:lang w:val="en-US" w:eastAsia="zh-CN"/>
        </w:rPr>
        <w:t>适当</w:t>
      </w:r>
      <w:r>
        <w:rPr>
          <w:rFonts w:hint="eastAsia" w:ascii="仿宋_GB2312" w:hAnsi="仿宋_GB2312" w:eastAsia="仿宋_GB2312" w:cs="仿宋_GB2312"/>
          <w:kern w:val="0"/>
          <w:sz w:val="32"/>
          <w:szCs w:val="32"/>
          <w:highlight w:val="none"/>
        </w:rPr>
        <w:t>收取农村生活污水处理费用，努力提高农民环保意识，确保设施长效运行</w:t>
      </w:r>
      <w:r>
        <w:rPr>
          <w:rFonts w:hint="eastAsia" w:ascii="仿宋_GB2312" w:hAnsi="仿宋_GB2312" w:eastAsia="仿宋_GB2312" w:cs="仿宋_GB2312"/>
          <w:kern w:val="0"/>
          <w:sz w:val="32"/>
          <w:szCs w:val="32"/>
          <w:highlight w:val="none"/>
          <w:lang w:eastAsia="zh-CN"/>
        </w:rPr>
        <w:t>；</w:t>
      </w:r>
      <w:r>
        <w:rPr>
          <w:rFonts w:hint="eastAsia" w:ascii="仿宋_GB2312" w:hAnsi="仿宋_GB2312" w:eastAsia="仿宋_GB2312" w:cs="仿宋_GB2312"/>
          <w:kern w:val="0"/>
          <w:sz w:val="32"/>
          <w:szCs w:val="32"/>
          <w:highlight w:val="none"/>
        </w:rPr>
        <w:t>引导和支持企业、社会团体、新乡贤等个人的社会力量，通过捐助等形式，参与农村生活污水处理设施运维管理工作。</w:t>
      </w:r>
    </w:p>
    <w:bookmarkEnd w:id="246"/>
    <w:p>
      <w:pPr>
        <w:pStyle w:val="4"/>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269" w:name="_Toc24467"/>
      <w:bookmarkStart w:id="270" w:name="_Toc5109"/>
      <w:bookmarkStart w:id="271" w:name="_Toc21839"/>
      <w:bookmarkStart w:id="272" w:name="_Toc19826"/>
      <w:bookmarkStart w:id="273" w:name="_Toc30424"/>
      <w:bookmarkStart w:id="274" w:name="_Toc15965"/>
      <w:bookmarkStart w:id="275" w:name="_Toc14259"/>
      <w:bookmarkStart w:id="276" w:name="_Toc20651"/>
      <w:r>
        <w:rPr>
          <w:rFonts w:hint="eastAsia" w:ascii="仿宋_GB2312" w:hAnsi="仿宋_GB2312" w:eastAsia="仿宋_GB2312" w:cs="仿宋_GB2312"/>
          <w:sz w:val="32"/>
          <w:szCs w:val="32"/>
          <w:highlight w:val="none"/>
          <w:lang w:val="en-US" w:eastAsia="zh-CN"/>
        </w:rPr>
        <w:t>五、</w:t>
      </w:r>
      <w:r>
        <w:rPr>
          <w:rFonts w:hint="eastAsia" w:ascii="仿宋_GB2312" w:hAnsi="仿宋_GB2312" w:eastAsia="仿宋_GB2312" w:cs="仿宋_GB2312"/>
          <w:sz w:val="32"/>
          <w:szCs w:val="32"/>
          <w:highlight w:val="none"/>
        </w:rPr>
        <w:t>农村生活污水处理设施运维管理规划</w:t>
      </w:r>
      <w:bookmarkEnd w:id="269"/>
      <w:bookmarkEnd w:id="270"/>
      <w:bookmarkEnd w:id="271"/>
    </w:p>
    <w:p>
      <w:pPr>
        <w:pStyle w:val="5"/>
        <w:pageBreakBefore w:val="0"/>
        <w:kinsoku/>
        <w:wordWrap/>
        <w:overflowPunct/>
        <w:topLinePunct w:val="0"/>
        <w:bidi w:val="0"/>
        <w:snapToGrid/>
        <w:spacing w:before="0" w:after="0" w:line="520" w:lineRule="exact"/>
        <w:ind w:firstLine="640" w:firstLineChars="200"/>
        <w:textAlignment w:val="auto"/>
        <w:rPr>
          <w:rFonts w:hint="eastAsia" w:ascii="楷体_GB2312" w:hAnsi="楷体_GB2312" w:eastAsia="楷体_GB2312" w:cs="楷体_GB2312"/>
          <w:b w:val="0"/>
          <w:bCs w:val="0"/>
          <w:sz w:val="32"/>
          <w:szCs w:val="32"/>
          <w:highlight w:val="none"/>
        </w:rPr>
      </w:pPr>
      <w:bookmarkStart w:id="277" w:name="_Toc32547"/>
      <w:bookmarkStart w:id="278" w:name="_Toc12079"/>
      <w:r>
        <w:rPr>
          <w:rFonts w:hint="eastAsia" w:ascii="楷体_GB2312" w:hAnsi="楷体_GB2312" w:eastAsia="楷体_GB2312" w:cs="楷体_GB2312"/>
          <w:b w:val="0"/>
          <w:bCs w:val="0"/>
          <w:sz w:val="32"/>
          <w:szCs w:val="32"/>
          <w:highlight w:val="none"/>
          <w:lang w:val="en-US" w:eastAsia="zh-CN"/>
        </w:rPr>
        <w:t>（一）</w:t>
      </w:r>
      <w:r>
        <w:rPr>
          <w:rFonts w:hint="eastAsia" w:ascii="楷体_GB2312" w:hAnsi="楷体_GB2312" w:eastAsia="楷体_GB2312" w:cs="楷体_GB2312"/>
          <w:b w:val="0"/>
          <w:bCs w:val="0"/>
          <w:sz w:val="32"/>
          <w:szCs w:val="32"/>
          <w:highlight w:val="none"/>
        </w:rPr>
        <w:t>运维管理现状</w:t>
      </w:r>
      <w:bookmarkEnd w:id="272"/>
      <w:bookmarkEnd w:id="273"/>
      <w:bookmarkEnd w:id="274"/>
      <w:bookmarkEnd w:id="277"/>
      <w:bookmarkEnd w:id="278"/>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eastAsia="zh-CN"/>
        </w:rPr>
      </w:pPr>
      <w:bookmarkStart w:id="279" w:name="_Toc10933"/>
      <w:r>
        <w:rPr>
          <w:rFonts w:hint="eastAsia" w:ascii="仿宋_GB2312" w:hAnsi="仿宋_GB2312" w:eastAsia="仿宋_GB2312" w:cs="仿宋_GB2312"/>
          <w:sz w:val="32"/>
          <w:szCs w:val="32"/>
          <w:highlight w:val="none"/>
          <w:lang w:val="en-US" w:eastAsia="zh-CN"/>
        </w:rPr>
        <w:t>1.运维管理范围</w:t>
      </w:r>
      <w:bookmarkEnd w:id="279"/>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汕尾市城区农村污水治理工程和汕尾市城区9个省定贫困村农村污水处理设施的运营维护服务由第三方单位（广州襄绿环保设备有限公司）承担。具体运营维护内容包括PPP项目新建的污水处理设施及9个省定贫困村污水处理设施及配套主管网。由区农业农村和水利局推进的雨污分流管网建设完成后，由建设单位运维保修一年，后续交由镇村自行运维。</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80" w:name="_Toc11433"/>
      <w:r>
        <w:rPr>
          <w:rFonts w:hint="eastAsia" w:ascii="仿宋_GB2312" w:hAnsi="仿宋_GB2312" w:eastAsia="仿宋_GB2312" w:cs="仿宋_GB2312"/>
          <w:sz w:val="32"/>
          <w:szCs w:val="32"/>
          <w:highlight w:val="none"/>
          <w:lang w:val="en-US" w:eastAsia="zh-CN"/>
        </w:rPr>
        <w:t>2.运维管理期限</w:t>
      </w:r>
      <w:bookmarkEnd w:id="280"/>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lang w:val="en-US" w:eastAsia="zh-CN"/>
        </w:rPr>
        <w:t>汕尾市城区农村污水治理工程运营期自投入商业运营之日起计算14年；9个省定贫困村农村生活污水治理设施的委托运营自</w:t>
      </w:r>
      <w:r>
        <w:rPr>
          <w:rFonts w:hint="eastAsia" w:ascii="仿宋_GB2312" w:hAnsi="仿宋_GB2312" w:eastAsia="仿宋_GB2312" w:cs="仿宋_GB2312"/>
          <w:sz w:val="32"/>
          <w:szCs w:val="32"/>
          <w:highlight w:val="none"/>
          <w:shd w:val="clear" w:color="auto" w:fill="FFFFFF"/>
          <w:lang w:val="en-US" w:eastAsia="zh-CN"/>
        </w:rPr>
        <w:t>岭南水务（汕尾）有限公司</w:t>
      </w:r>
      <w:r>
        <w:rPr>
          <w:rFonts w:hint="eastAsia" w:ascii="仿宋_GB2312" w:hAnsi="仿宋_GB2312" w:eastAsia="仿宋_GB2312" w:cs="仿宋_GB2312"/>
          <w:sz w:val="32"/>
          <w:szCs w:val="32"/>
          <w:highlight w:val="none"/>
          <w:lang w:val="en-US" w:eastAsia="zh-CN"/>
        </w:rPr>
        <w:t>将项目设施正式移交给</w:t>
      </w:r>
      <w:r>
        <w:rPr>
          <w:rFonts w:hint="eastAsia" w:ascii="仿宋_GB2312" w:hAnsi="仿宋_GB2312" w:eastAsia="仿宋_GB2312" w:cs="仿宋_GB2312"/>
          <w:sz w:val="32"/>
          <w:szCs w:val="32"/>
          <w:highlight w:val="none"/>
          <w:shd w:val="clear" w:color="auto" w:fill="FFFFFF"/>
          <w:lang w:val="en-US" w:eastAsia="zh-CN"/>
        </w:rPr>
        <w:t>广州襄绿环保设备有限公司之日起计算，运营期为14年。</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81" w:name="_Toc22889"/>
      <w:r>
        <w:rPr>
          <w:rFonts w:hint="eastAsia" w:ascii="仿宋_GB2312" w:hAnsi="仿宋_GB2312" w:eastAsia="仿宋_GB2312" w:cs="仿宋_GB2312"/>
          <w:sz w:val="32"/>
          <w:szCs w:val="32"/>
          <w:highlight w:val="none"/>
          <w:lang w:val="en-US" w:eastAsia="zh-CN"/>
        </w:rPr>
        <w:t>3.运维管理原则</w:t>
      </w:r>
      <w:bookmarkEnd w:id="281"/>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lang w:val="en-US" w:eastAsia="zh-CN"/>
        </w:rPr>
        <w:t>由</w:t>
      </w:r>
      <w:r>
        <w:rPr>
          <w:rFonts w:hint="eastAsia" w:ascii="仿宋_GB2312" w:hAnsi="仿宋_GB2312" w:eastAsia="仿宋_GB2312" w:cs="仿宋_GB2312"/>
          <w:sz w:val="32"/>
          <w:szCs w:val="32"/>
          <w:highlight w:val="none"/>
          <w:shd w:val="clear" w:color="auto" w:fill="FFFFFF"/>
          <w:lang w:val="en-US" w:eastAsia="zh-CN"/>
        </w:rPr>
        <w:t>广州襄绿环保设备有限公司负责单机、联动和工艺达标调试，严格按照市城区住建局和岭南水务（汕尾）有限公司签订的PPP合同调试一个月后，进入试运营期，广州襄绿环保设备有限公司应按照PPP合同约定的运行维护等标准和要求，始终遵循谨慎运营惯例，及时合理地对本项目设备设施进行维护，保证本项目设施设备始终处于良好的运行状态，包括确保污水处理水质达到合同规定的排水水质标准；确保本项目运营应满足PPP合同约定的绩效考核要求等。</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82" w:name="_Toc19138"/>
      <w:r>
        <w:rPr>
          <w:rFonts w:hint="eastAsia" w:ascii="仿宋_GB2312" w:hAnsi="仿宋_GB2312" w:eastAsia="仿宋_GB2312" w:cs="仿宋_GB2312"/>
          <w:sz w:val="32"/>
          <w:szCs w:val="32"/>
          <w:highlight w:val="none"/>
          <w:lang w:val="en-US" w:eastAsia="zh-CN"/>
        </w:rPr>
        <w:t>4.运维管理内容</w:t>
      </w:r>
      <w:bookmarkEnd w:id="282"/>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b/>
          <w:bCs/>
          <w:sz w:val="32"/>
          <w:szCs w:val="32"/>
          <w:highlight w:val="none"/>
          <w:lang w:val="en-US" w:eastAsia="zh-CN"/>
        </w:rPr>
        <w:t>（1）编制运营维护手册</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运营维护手册内容包括对污水处理厂（站）、污水管网、泵站进行定期和年度检查、日常运行维修维护、年度大中修的程序和计划，并制定相应应对突发事件的应急预案；</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运营维护手册应包括在正常运维的消耗性备品备件和事故抢修的备品备件；</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shd w:val="clear" w:color="auto" w:fill="FFFFFF"/>
          <w:lang w:val="en-US" w:eastAsia="zh-CN"/>
        </w:rPr>
        <w:t>运营维护手册应符合使用法律和中国国家行业规范、标准的要求，保障污水处理厂、污水管网、泵站正常运行的生产管理制度、安全生产制度、水质检测制度。</w:t>
      </w:r>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（2）报告制度</w:t>
      </w:r>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b w:val="0"/>
          <w:bCs w:val="0"/>
          <w:sz w:val="32"/>
          <w:szCs w:val="32"/>
          <w:highlight w:val="none"/>
          <w:lang w:val="en-US" w:eastAsia="zh-CN"/>
        </w:rPr>
      </w:pPr>
      <w:r>
        <w:rPr>
          <w:rFonts w:hint="eastAsia" w:ascii="仿宋_GB2312" w:hAnsi="仿宋_GB2312" w:eastAsia="仿宋_GB2312" w:cs="仿宋_GB2312"/>
          <w:b w:val="0"/>
          <w:bCs w:val="0"/>
          <w:sz w:val="32"/>
          <w:szCs w:val="32"/>
          <w:highlight w:val="none"/>
          <w:lang w:val="en-US" w:eastAsia="zh-CN"/>
        </w:rPr>
        <w:t>①运维单位应按照相关要求，向业主提供生产数据台账、设备台账、安全台账等报表信息。自运营期开始的第二个月起，运维单位应定期向业主提供相关台账及凭证，业主做好相关数据的整理和资料的存档工作。</w:t>
      </w:r>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b w:val="0"/>
          <w:bCs w:val="0"/>
          <w:sz w:val="32"/>
          <w:szCs w:val="32"/>
          <w:highlight w:val="none"/>
          <w:lang w:val="en-US" w:eastAsia="zh-CN"/>
        </w:rPr>
      </w:pPr>
      <w:r>
        <w:rPr>
          <w:rFonts w:hint="eastAsia" w:ascii="仿宋_GB2312" w:hAnsi="仿宋_GB2312" w:eastAsia="仿宋_GB2312" w:cs="仿宋_GB2312"/>
          <w:b w:val="0"/>
          <w:bCs w:val="0"/>
          <w:sz w:val="32"/>
          <w:szCs w:val="32"/>
          <w:highlight w:val="none"/>
          <w:lang w:val="en-US" w:eastAsia="zh-CN"/>
        </w:rPr>
        <w:t>②运维过程中发生任何事件，对工作现场、人和设备等造成影响或潜在影响的，运维单位应在24小时内及时书面报告甲方，报告应包括事件发生原因、已采取措施和处理结果等。</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83" w:name="_Toc8604"/>
      <w:r>
        <w:rPr>
          <w:rFonts w:hint="eastAsia" w:ascii="仿宋_GB2312" w:hAnsi="仿宋_GB2312" w:eastAsia="仿宋_GB2312" w:cs="仿宋_GB2312"/>
          <w:sz w:val="32"/>
          <w:szCs w:val="32"/>
          <w:highlight w:val="none"/>
          <w:lang w:val="en-US" w:eastAsia="zh-CN"/>
        </w:rPr>
        <w:t>5.质量标准与监测</w:t>
      </w:r>
      <w:bookmarkEnd w:id="283"/>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highlight w:val="none"/>
          <w:lang w:val="en-US" w:eastAsia="zh-CN"/>
        </w:rPr>
        <w:t>（1）质量保证</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对项目设备设施进行管理和维护的工作内容及质量标准应符合适用法律和国家行业规范、标准的相关规定，以及广东省、汕尾市相关文件要求。</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合作期内，如果适用法律或甲方对原设计出水水质标准做出调整，乙</w:t>
      </w:r>
      <w:r>
        <w:rPr>
          <w:rFonts w:hint="eastAsia" w:ascii="仿宋_GB2312" w:hAnsi="仿宋_GB2312" w:eastAsia="仿宋_GB2312" w:cs="仿宋_GB2312"/>
          <w:sz w:val="32"/>
          <w:szCs w:val="32"/>
          <w:highlight w:val="none"/>
          <w:shd w:val="clear" w:color="auto" w:fill="FFFFFF"/>
          <w:lang w:val="zh-CN" w:eastAsia="zh-CN"/>
        </w:rPr>
        <w:t>方应</w:t>
      </w:r>
      <w:r>
        <w:rPr>
          <w:rFonts w:hint="eastAsia" w:ascii="仿宋_GB2312" w:hAnsi="仿宋_GB2312" w:eastAsia="仿宋_GB2312" w:cs="仿宋_GB2312"/>
          <w:sz w:val="32"/>
          <w:szCs w:val="32"/>
          <w:highlight w:val="none"/>
          <w:shd w:val="clear" w:color="auto" w:fill="FFFFFF"/>
          <w:lang w:val="en-US" w:eastAsia="zh-CN"/>
        </w:rPr>
        <w:t>将有关要求及改造方案报</w:t>
      </w:r>
      <w:r>
        <w:rPr>
          <w:rFonts w:hint="eastAsia" w:ascii="仿宋_GB2312" w:hAnsi="仿宋_GB2312" w:eastAsia="仿宋_GB2312" w:cs="仿宋_GB2312"/>
          <w:sz w:val="32"/>
          <w:szCs w:val="32"/>
          <w:highlight w:val="none"/>
          <w:shd w:val="clear" w:color="auto" w:fill="FFFFFF"/>
          <w:lang w:val="zh-CN" w:eastAsia="zh-CN"/>
        </w:rPr>
        <w:t>甲方，</w:t>
      </w:r>
      <w:r>
        <w:rPr>
          <w:rFonts w:hint="eastAsia" w:ascii="仿宋_GB2312" w:hAnsi="仿宋_GB2312" w:eastAsia="仿宋_GB2312" w:cs="仿宋_GB2312"/>
          <w:sz w:val="32"/>
          <w:szCs w:val="32"/>
          <w:highlight w:val="none"/>
          <w:shd w:val="clear" w:color="auto" w:fill="FFFFFF"/>
          <w:lang w:val="en-US" w:eastAsia="zh-CN"/>
        </w:rPr>
        <w:t>经甲方书面同意后实施相关工程技术措施，若因标准调整造成资本性支出或运营成本变化时，经双方协商确认后，</w:t>
      </w:r>
      <w:r>
        <w:rPr>
          <w:rFonts w:hint="eastAsia" w:ascii="仿宋_GB2312" w:hAnsi="仿宋_GB2312" w:eastAsia="仿宋_GB2312" w:cs="仿宋_GB2312"/>
          <w:sz w:val="32"/>
          <w:szCs w:val="32"/>
          <w:highlight w:val="none"/>
          <w:shd w:val="clear" w:color="auto" w:fill="FFFFFF"/>
          <w:lang w:val="zh-CN" w:eastAsia="zh-CN"/>
        </w:rPr>
        <w:t>对</w:t>
      </w:r>
      <w:r>
        <w:rPr>
          <w:rFonts w:hint="eastAsia" w:ascii="仿宋_GB2312" w:hAnsi="仿宋_GB2312" w:eastAsia="仿宋_GB2312" w:cs="仿宋_GB2312"/>
          <w:sz w:val="32"/>
          <w:szCs w:val="32"/>
          <w:highlight w:val="none"/>
          <w:shd w:val="clear" w:color="auto" w:fill="FFFFFF"/>
          <w:lang w:val="en-US" w:eastAsia="zh-CN"/>
        </w:rPr>
        <w:t>运营服务费进行相应调整。</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若有关出水水质标准、污泥排放、废气和噪声标准的国家标准、行业标准以及广东省、汕尾市的标准发生变化时，则运营的污水处理场站应执行该等新标准。如新标准与现标准有冲突，则以较严格标准为准。由此产生的运营成本增加，由双方重新核定污水处理</w:t>
      </w:r>
      <w:r>
        <w:rPr>
          <w:rFonts w:hint="eastAsia" w:ascii="仿宋_GB2312" w:hAnsi="仿宋_GB2312" w:eastAsia="仿宋_GB2312" w:cs="仿宋_GB2312"/>
          <w:sz w:val="32"/>
          <w:szCs w:val="32"/>
          <w:highlight w:val="none"/>
          <w:shd w:val="clear" w:color="auto" w:fill="FFFFFF"/>
          <w:lang w:val="zh-CN" w:eastAsia="zh-CN"/>
        </w:rPr>
        <w:t>单价。</w:t>
      </w:r>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（2）进出水质标准</w:t>
      </w:r>
    </w:p>
    <w:p>
      <w:pPr>
        <w:pStyle w:val="97"/>
        <w:keepNext w:val="0"/>
        <w:keepLines w:val="0"/>
        <w:pageBreakBefore w:val="0"/>
        <w:widowControl w:val="0"/>
        <w:shd w:val="clear" w:color="auto" w:fill="auto"/>
        <w:kinsoku/>
        <w:wordWrap/>
        <w:overflowPunct/>
        <w:topLinePunct w:val="0"/>
        <w:bidi w:val="0"/>
        <w:snapToGrid/>
        <w:spacing w:line="520" w:lineRule="exact"/>
        <w:ind w:left="0" w:right="0" w:firstLine="640" w:firstLineChars="200"/>
        <w:jc w:val="both"/>
        <w:textAlignment w:val="auto"/>
        <w:rPr>
          <w:rFonts w:hint="eastAsia" w:ascii="仿宋_GB2312" w:hAnsi="仿宋_GB2312" w:eastAsia="仿宋_GB2312" w:cs="仿宋_GB2312"/>
          <w:kern w:val="2"/>
          <w:sz w:val="32"/>
          <w:szCs w:val="32"/>
          <w:highlight w:val="none"/>
          <w:u w:val="none"/>
          <w:shd w:val="clear" w:color="auto" w:fill="FFFFFF"/>
          <w:lang w:val="en-US" w:eastAsia="zh-CN" w:bidi="ar-SA"/>
        </w:rPr>
      </w:pPr>
      <w:r>
        <w:rPr>
          <w:rFonts w:hint="eastAsia" w:ascii="仿宋_GB2312" w:hAnsi="仿宋_GB2312" w:eastAsia="仿宋_GB2312" w:cs="仿宋_GB2312"/>
          <w:kern w:val="2"/>
          <w:sz w:val="32"/>
          <w:szCs w:val="32"/>
          <w:highlight w:val="none"/>
          <w:u w:val="none"/>
          <w:shd w:val="clear" w:color="auto" w:fill="FFFFFF"/>
          <w:lang w:val="en-US" w:eastAsia="zh-CN" w:bidi="ar-SA"/>
        </w:rPr>
        <w:t>①进水水质标准</w:t>
      </w:r>
    </w:p>
    <w:p>
      <w:pPr>
        <w:pStyle w:val="97"/>
        <w:keepNext w:val="0"/>
        <w:keepLines w:val="0"/>
        <w:pageBreakBefore w:val="0"/>
        <w:widowControl w:val="0"/>
        <w:shd w:val="clear" w:color="auto" w:fill="auto"/>
        <w:kinsoku/>
        <w:wordWrap/>
        <w:overflowPunct/>
        <w:topLinePunct w:val="0"/>
        <w:bidi w:val="0"/>
        <w:snapToGrid/>
        <w:spacing w:line="520" w:lineRule="exact"/>
        <w:ind w:left="0" w:right="0" w:firstLine="640" w:firstLineChars="200"/>
        <w:jc w:val="both"/>
        <w:textAlignment w:val="auto"/>
        <w:rPr>
          <w:rFonts w:hint="eastAsia" w:ascii="仿宋_GB2312" w:hAnsi="仿宋_GB2312" w:eastAsia="仿宋_GB2312" w:cs="仿宋_GB2312"/>
          <w:kern w:val="2"/>
          <w:sz w:val="32"/>
          <w:szCs w:val="32"/>
          <w:highlight w:val="none"/>
          <w:u w:val="none"/>
          <w:shd w:val="clear" w:color="auto" w:fill="FFFFFF"/>
          <w:lang w:val="en-US" w:eastAsia="zh-CN" w:bidi="ar-SA"/>
        </w:rPr>
      </w:pPr>
      <w:r>
        <w:rPr>
          <w:rFonts w:hint="eastAsia" w:ascii="仿宋_GB2312" w:hAnsi="仿宋_GB2312" w:eastAsia="仿宋_GB2312" w:cs="仿宋_GB2312"/>
          <w:kern w:val="2"/>
          <w:sz w:val="32"/>
          <w:szCs w:val="32"/>
          <w:highlight w:val="none"/>
          <w:u w:val="none"/>
          <w:shd w:val="clear" w:color="auto" w:fill="FFFFFF"/>
          <w:lang w:val="en-US" w:eastAsia="zh-CN" w:bidi="ar-SA"/>
        </w:rPr>
        <w:t>PPP项目新建农村生活污水处理设施进水水质暂参照常规农村污水监测参数。具体进水水质参数如下：</w:t>
      </w:r>
    </w:p>
    <w:p>
      <w:pPr>
        <w:pStyle w:val="2"/>
        <w:pageBreakBefore w:val="0"/>
        <w:kinsoku/>
        <w:wordWrap/>
        <w:overflowPunct/>
        <w:topLinePunct w:val="0"/>
        <w:bidi w:val="0"/>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表5-1农村生活污水处理设施进出水水质参数表</w:t>
      </w:r>
    </w:p>
    <w:p>
      <w:pPr>
        <w:pStyle w:val="2"/>
        <w:pageBreakBefore w:val="0"/>
        <w:kinsoku/>
        <w:wordWrap/>
        <w:overflowPunct/>
        <w:topLinePunct w:val="0"/>
        <w:bidi w:val="0"/>
        <w:snapToGrid/>
        <w:spacing w:after="0" w:line="520" w:lineRule="exact"/>
        <w:ind w:right="0" w:rightChars="0" w:firstLine="5783" w:firstLineChars="1800"/>
        <w:jc w:val="both"/>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（单位：</w:t>
      </w:r>
      <w:r>
        <w:rPr>
          <w:rFonts w:hint="eastAsia" w:ascii="仿宋_GB2312" w:hAnsi="仿宋_GB2312" w:eastAsia="仿宋_GB2312" w:cs="仿宋_GB2312"/>
          <w:b/>
          <w:bCs/>
          <w:kern w:val="2"/>
          <w:sz w:val="32"/>
          <w:szCs w:val="32"/>
          <w:highlight w:val="none"/>
          <w:lang w:val="en-US" w:eastAsia="en-US"/>
        </w:rPr>
        <w:t>mg/</w:t>
      </w:r>
      <w:r>
        <w:rPr>
          <w:rFonts w:hint="eastAsia" w:ascii="仿宋_GB2312" w:hAnsi="仿宋_GB2312" w:eastAsia="仿宋_GB2312" w:cs="仿宋_GB2312"/>
          <w:b/>
          <w:bCs/>
          <w:kern w:val="2"/>
          <w:sz w:val="32"/>
          <w:szCs w:val="32"/>
          <w:highlight w:val="none"/>
          <w:lang w:val="en-US" w:eastAsia="zh-CN"/>
        </w:rPr>
        <w:t>L</w:t>
      </w:r>
      <w:r>
        <w:rPr>
          <w:rFonts w:hint="eastAsia" w:ascii="仿宋_GB2312" w:hAnsi="仿宋_GB2312" w:eastAsia="仿宋_GB2312" w:cs="仿宋_GB2312"/>
          <w:b/>
          <w:bCs/>
          <w:kern w:val="2"/>
          <w:sz w:val="32"/>
          <w:szCs w:val="32"/>
          <w:highlight w:val="none"/>
          <w:lang w:val="en-US" w:eastAsia="en-US"/>
        </w:rPr>
        <w:t>)</w:t>
      </w:r>
    </w:p>
    <w:tbl>
      <w:tblPr>
        <w:tblStyle w:val="20"/>
        <w:tblW w:w="0" w:type="auto"/>
        <w:jc w:val="center"/>
        <w:tblLayout w:type="fixed"/>
        <w:tblCellMar>
          <w:top w:w="0" w:type="dxa"/>
          <w:left w:w="10" w:type="dxa"/>
          <w:bottom w:w="0" w:type="dxa"/>
          <w:right w:w="10" w:type="dxa"/>
        </w:tblCellMar>
      </w:tblPr>
      <w:tblGrid>
        <w:gridCol w:w="1360"/>
        <w:gridCol w:w="1337"/>
        <w:gridCol w:w="1345"/>
        <w:gridCol w:w="1401"/>
        <w:gridCol w:w="1299"/>
        <w:gridCol w:w="1375"/>
      </w:tblGrid>
      <w:tr>
        <w:tblPrEx>
          <w:tblCellMar>
            <w:top w:w="0" w:type="dxa"/>
            <w:left w:w="10" w:type="dxa"/>
            <w:bottom w:w="0" w:type="dxa"/>
            <w:right w:w="10" w:type="dxa"/>
          </w:tblCellMar>
        </w:tblPrEx>
        <w:trPr>
          <w:trHeight w:val="569" w:hRule="exact"/>
          <w:jc w:val="center"/>
        </w:trPr>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污染物</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COD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Cr</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BOD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5</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SS</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氨氮</w:t>
            </w:r>
          </w:p>
        </w:tc>
        <w:tc>
          <w:tcPr>
            <w:tcBorders>
              <w:top w:val="single" w:color="auto" w:sz="4" w:space="0"/>
              <w:left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TP</w:t>
            </w:r>
          </w:p>
        </w:tc>
      </w:tr>
      <w:tr>
        <w:tblPrEx>
          <w:tblCellMar>
            <w:top w:w="0" w:type="dxa"/>
            <w:left w:w="10" w:type="dxa"/>
            <w:bottom w:w="0" w:type="dxa"/>
            <w:right w:w="10" w:type="dxa"/>
          </w:tblCellMar>
        </w:tblPrEx>
        <w:trPr>
          <w:trHeight w:val="588" w:hRule="exact"/>
          <w:jc w:val="center"/>
        </w:trPr>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进水</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150</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100</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100</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20</w:t>
            </w:r>
          </w:p>
        </w:tc>
        <w:tc>
          <w:tcPr>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3</w:t>
            </w:r>
          </w:p>
        </w:tc>
      </w:tr>
    </w:tbl>
    <w:p>
      <w:pPr>
        <w:pStyle w:val="97"/>
        <w:keepNext w:val="0"/>
        <w:keepLines w:val="0"/>
        <w:pageBreakBefore w:val="0"/>
        <w:widowControl w:val="0"/>
        <w:shd w:val="clear" w:color="auto" w:fill="auto"/>
        <w:kinsoku/>
        <w:wordWrap/>
        <w:overflowPunct/>
        <w:topLinePunct w:val="0"/>
        <w:autoSpaceDE/>
        <w:autoSpaceDN/>
        <w:bidi w:val="0"/>
        <w:adjustRightInd/>
        <w:snapToGrid/>
        <w:spacing w:before="0" w:line="520" w:lineRule="exact"/>
        <w:ind w:left="0" w:right="0" w:firstLine="640" w:firstLineChars="200"/>
        <w:jc w:val="both"/>
        <w:textAlignment w:val="auto"/>
        <w:rPr>
          <w:rFonts w:hint="eastAsia" w:ascii="仿宋_GB2312" w:hAnsi="仿宋_GB2312" w:eastAsia="仿宋_GB2312" w:cs="仿宋_GB2312"/>
          <w:kern w:val="2"/>
          <w:sz w:val="32"/>
          <w:szCs w:val="32"/>
          <w:highlight w:val="none"/>
          <w:u w:val="none"/>
          <w:shd w:val="clear" w:color="auto" w:fill="FFFFFF"/>
          <w:lang w:val="en-US" w:eastAsia="zh-CN" w:bidi="ar-SA"/>
        </w:rPr>
      </w:pPr>
      <w:r>
        <w:rPr>
          <w:rFonts w:hint="eastAsia" w:ascii="仿宋_GB2312" w:hAnsi="仿宋_GB2312" w:eastAsia="仿宋_GB2312" w:cs="仿宋_GB2312"/>
          <w:kern w:val="2"/>
          <w:sz w:val="32"/>
          <w:szCs w:val="32"/>
          <w:highlight w:val="none"/>
          <w:u w:val="none"/>
          <w:shd w:val="clear" w:color="auto" w:fill="FFFFFF"/>
          <w:lang w:val="en-US" w:eastAsia="zh-CN" w:bidi="ar-SA"/>
        </w:rPr>
        <w:t>九个省定贫困村农村污水治理工程污水进水水质参考广东省内其他农村污水项目进水水质，按下列参数取值：</w:t>
      </w:r>
    </w:p>
    <w:p>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表5-2 农村居民生活污水进水水质参考取值</w:t>
      </w:r>
    </w:p>
    <w:p>
      <w:pPr>
        <w:pStyle w:val="2"/>
        <w:keepNext w:val="0"/>
        <w:keepLines w:val="0"/>
        <w:pageBreakBefore w:val="0"/>
        <w:widowControl w:val="0"/>
        <w:kinsoku/>
        <w:wordWrap/>
        <w:overflowPunct/>
        <w:topLinePunct w:val="0"/>
        <w:autoSpaceDE/>
        <w:autoSpaceDN/>
        <w:bidi w:val="0"/>
        <w:adjustRightInd/>
        <w:snapToGrid/>
        <w:spacing w:after="0" w:line="520" w:lineRule="exact"/>
        <w:ind w:right="0" w:rightChars="0" w:firstLine="5783" w:firstLineChars="1800"/>
        <w:jc w:val="both"/>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（单位：</w:t>
      </w:r>
      <w:r>
        <w:rPr>
          <w:rFonts w:hint="eastAsia" w:ascii="仿宋_GB2312" w:hAnsi="仿宋_GB2312" w:eastAsia="仿宋_GB2312" w:cs="仿宋_GB2312"/>
          <w:b/>
          <w:bCs/>
          <w:kern w:val="2"/>
          <w:sz w:val="32"/>
          <w:szCs w:val="32"/>
          <w:highlight w:val="none"/>
          <w:lang w:val="en-US" w:eastAsia="en-US"/>
        </w:rPr>
        <w:t>mg/L)</w:t>
      </w:r>
    </w:p>
    <w:tbl>
      <w:tblPr>
        <w:tblStyle w:val="20"/>
        <w:tblW w:w="0" w:type="auto"/>
        <w:jc w:val="center"/>
        <w:tblLayout w:type="fixed"/>
        <w:tblCellMar>
          <w:top w:w="0" w:type="dxa"/>
          <w:left w:w="10" w:type="dxa"/>
          <w:bottom w:w="0" w:type="dxa"/>
          <w:right w:w="10" w:type="dxa"/>
        </w:tblCellMar>
      </w:tblPr>
      <w:tblGrid>
        <w:gridCol w:w="1015"/>
        <w:gridCol w:w="1172"/>
        <w:gridCol w:w="1378"/>
        <w:gridCol w:w="923"/>
        <w:gridCol w:w="1511"/>
        <w:gridCol w:w="1397"/>
        <w:gridCol w:w="841"/>
      </w:tblGrid>
      <w:tr>
        <w:tblPrEx>
          <w:tblCellMar>
            <w:top w:w="0" w:type="dxa"/>
            <w:left w:w="10" w:type="dxa"/>
            <w:bottom w:w="0" w:type="dxa"/>
            <w:right w:w="10" w:type="dxa"/>
          </w:tblCellMar>
        </w:tblPrEx>
        <w:trPr>
          <w:trHeight w:val="648" w:hRule="exact"/>
          <w:jc w:val="center"/>
        </w:trPr>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污染物</w:t>
            </w:r>
          </w:p>
        </w:tc>
        <w:tc>
          <w:tcPr>
            <w:tcW w:w="1172" w:type="dxa"/>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COD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Cr</w:t>
            </w:r>
          </w:p>
        </w:tc>
        <w:tc>
          <w:tcPr>
            <w:tcW w:w="1378" w:type="dxa"/>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BOD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5</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SS</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TN</w:t>
            </w:r>
          </w:p>
        </w:tc>
        <w:tc>
          <w:tcPr>
            <w:tcBorders>
              <w:top w:val="single" w:color="auto" w:sz="4" w:space="0"/>
              <w:lef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氨氮</w:t>
            </w:r>
          </w:p>
        </w:tc>
        <w:tc>
          <w:tcPr>
            <w:tcBorders>
              <w:top w:val="single" w:color="auto" w:sz="4" w:space="0"/>
              <w:left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TP</w:t>
            </w:r>
          </w:p>
        </w:tc>
      </w:tr>
      <w:tr>
        <w:tblPrEx>
          <w:tblCellMar>
            <w:top w:w="0" w:type="dxa"/>
            <w:left w:w="10" w:type="dxa"/>
            <w:bottom w:w="0" w:type="dxa"/>
            <w:right w:w="10" w:type="dxa"/>
          </w:tblCellMar>
        </w:tblPrEx>
        <w:trPr>
          <w:trHeight w:val="345" w:hRule="exact"/>
          <w:jc w:val="center"/>
        </w:trPr>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水质指标</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150</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75</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100</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25</w:t>
            </w:r>
          </w:p>
        </w:tc>
        <w:tc>
          <w:tcPr>
            <w:tcBorders>
              <w:top w:val="single" w:color="auto" w:sz="4" w:space="0"/>
              <w:left w:val="single" w:color="auto" w:sz="4" w:space="0"/>
              <w:bottom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8 (15)</w:t>
            </w:r>
          </w:p>
        </w:tc>
        <w:tc>
          <w:tcPr>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3</w:t>
            </w:r>
          </w:p>
        </w:tc>
      </w:tr>
    </w:tbl>
    <w:p>
      <w:pPr>
        <w:pStyle w:val="97"/>
        <w:keepNext w:val="0"/>
        <w:keepLines w:val="0"/>
        <w:pageBreakBefore w:val="0"/>
        <w:widowControl w:val="0"/>
        <w:shd w:val="clear" w:color="auto" w:fill="auto"/>
        <w:kinsoku/>
        <w:wordWrap/>
        <w:overflowPunct/>
        <w:topLinePunct w:val="0"/>
        <w:autoSpaceDE/>
        <w:autoSpaceDN/>
        <w:bidi w:val="0"/>
        <w:adjustRightInd/>
        <w:snapToGrid/>
        <w:spacing w:before="0" w:line="520" w:lineRule="exact"/>
        <w:ind w:left="0" w:right="0" w:firstLine="640" w:firstLineChars="200"/>
        <w:jc w:val="both"/>
        <w:textAlignment w:val="auto"/>
        <w:rPr>
          <w:rFonts w:hint="eastAsia" w:ascii="仿宋_GB2312" w:hAnsi="仿宋_GB2312" w:eastAsia="仿宋_GB2312" w:cs="仿宋_GB2312"/>
          <w:kern w:val="2"/>
          <w:sz w:val="32"/>
          <w:szCs w:val="32"/>
          <w:highlight w:val="none"/>
          <w:u w:val="none"/>
          <w:shd w:val="clear" w:color="auto" w:fill="FFFFFF"/>
          <w:lang w:val="en-US" w:eastAsia="zh-CN" w:bidi="ar-SA"/>
        </w:rPr>
      </w:pPr>
      <w:r>
        <w:rPr>
          <w:rFonts w:hint="eastAsia" w:ascii="仿宋_GB2312" w:hAnsi="仿宋_GB2312" w:eastAsia="仿宋_GB2312" w:cs="仿宋_GB2312"/>
          <w:kern w:val="2"/>
          <w:sz w:val="32"/>
          <w:szCs w:val="32"/>
          <w:highlight w:val="none"/>
          <w:u w:val="none"/>
          <w:shd w:val="clear" w:color="auto" w:fill="FFFFFF"/>
          <w:lang w:val="en-US" w:eastAsia="zh-CN" w:bidi="ar-SA"/>
        </w:rPr>
        <w:t>②出水水质标准</w:t>
      </w:r>
    </w:p>
    <w:p>
      <w:pPr>
        <w:pStyle w:val="101"/>
        <w:keepNext w:val="0"/>
        <w:keepLines w:val="0"/>
        <w:pageBreakBefore w:val="0"/>
        <w:widowControl w:val="0"/>
        <w:shd w:val="clear" w:color="auto" w:fill="auto"/>
        <w:kinsoku/>
        <w:wordWrap/>
        <w:overflowPunct/>
        <w:topLinePunct w:val="0"/>
        <w:autoSpaceDE/>
        <w:autoSpaceDN/>
        <w:bidi w:val="0"/>
        <w:adjustRightInd/>
        <w:snapToGrid/>
        <w:spacing w:before="0" w:line="520" w:lineRule="exact"/>
        <w:ind w:right="0" w:firstLine="640" w:firstLineChars="200"/>
        <w:jc w:val="both"/>
        <w:textAlignment w:val="auto"/>
        <w:rPr>
          <w:rFonts w:hint="eastAsia" w:ascii="仿宋_GB2312" w:hAnsi="仿宋_GB2312" w:eastAsia="仿宋_GB2312" w:cs="仿宋_GB2312"/>
          <w:kern w:val="2"/>
          <w:sz w:val="32"/>
          <w:szCs w:val="32"/>
          <w:highlight w:val="none"/>
          <w:u w:val="none"/>
          <w:shd w:val="clear" w:color="auto" w:fill="FFFFFF"/>
          <w:lang w:val="en-US" w:eastAsia="zh-CN" w:bidi="ar-SA"/>
        </w:rPr>
      </w:pPr>
      <w:r>
        <w:rPr>
          <w:rFonts w:hint="eastAsia" w:ascii="仿宋_GB2312" w:hAnsi="仿宋_GB2312" w:eastAsia="仿宋_GB2312" w:cs="仿宋_GB2312"/>
          <w:kern w:val="2"/>
          <w:sz w:val="32"/>
          <w:szCs w:val="32"/>
          <w:highlight w:val="none"/>
          <w:u w:val="none"/>
          <w:shd w:val="clear" w:color="auto" w:fill="FFFFFF"/>
          <w:lang w:val="en-US" w:eastAsia="zh-CN" w:bidi="ar-SA"/>
        </w:rPr>
        <w:t>PPP项目中农村污水处理站出水就近排入明渠、水塘等水体，其中经河流入品清湖的出水水质执行一级</w:t>
      </w:r>
      <w:r>
        <w:rPr>
          <w:rFonts w:hint="eastAsia" w:ascii="仿宋_GB2312" w:hAnsi="仿宋_GB2312" w:eastAsia="仿宋_GB2312" w:cs="仿宋_GB2312"/>
          <w:kern w:val="2"/>
          <w:sz w:val="32"/>
          <w:szCs w:val="32"/>
          <w:highlight w:val="none"/>
          <w:u w:val="none"/>
          <w:shd w:val="clear" w:color="auto" w:fill="FFFFFF"/>
          <w:lang w:val="en-US" w:eastAsia="en-US" w:bidi="ar-SA"/>
        </w:rPr>
        <w:t>A</w:t>
      </w:r>
      <w:r>
        <w:rPr>
          <w:rFonts w:hint="eastAsia" w:ascii="仿宋_GB2312" w:hAnsi="仿宋_GB2312" w:eastAsia="仿宋_GB2312" w:cs="仿宋_GB2312"/>
          <w:kern w:val="2"/>
          <w:sz w:val="32"/>
          <w:szCs w:val="32"/>
          <w:highlight w:val="none"/>
          <w:u w:val="none"/>
          <w:shd w:val="clear" w:color="auto" w:fill="FFFFFF"/>
          <w:lang w:val="en-US" w:eastAsia="zh-CN" w:bidi="ar-SA"/>
        </w:rPr>
        <w:t>标准，九个省定贫困村农村污水</w:t>
      </w:r>
      <w:r>
        <w:rPr>
          <w:rFonts w:hint="eastAsia" w:ascii="仿宋_GB2312" w:hAnsi="仿宋_GB2312" w:eastAsia="仿宋_GB2312" w:cs="仿宋_GB2312"/>
          <w:kern w:val="2"/>
          <w:sz w:val="32"/>
          <w:szCs w:val="32"/>
          <w:highlight w:val="none"/>
          <w:u w:val="none"/>
          <w:shd w:val="clear" w:color="auto" w:fill="FFFFFF"/>
          <w:lang w:val="zh-CN" w:eastAsia="zh-CN" w:bidi="ar-SA"/>
        </w:rPr>
        <w:t>治理工</w:t>
      </w:r>
      <w:r>
        <w:rPr>
          <w:rFonts w:hint="eastAsia" w:ascii="仿宋_GB2312" w:hAnsi="仿宋_GB2312" w:eastAsia="仿宋_GB2312" w:cs="仿宋_GB2312"/>
          <w:kern w:val="2"/>
          <w:sz w:val="32"/>
          <w:szCs w:val="32"/>
          <w:highlight w:val="none"/>
          <w:u w:val="none"/>
          <w:shd w:val="clear" w:color="auto" w:fill="FFFFFF"/>
          <w:lang w:val="en-US" w:eastAsia="zh-CN" w:bidi="ar-SA"/>
        </w:rPr>
        <w:t>程岀水排水水质按一级</w:t>
      </w:r>
      <w:r>
        <w:rPr>
          <w:rFonts w:hint="eastAsia" w:ascii="仿宋_GB2312" w:hAnsi="仿宋_GB2312" w:eastAsia="仿宋_GB2312" w:cs="仿宋_GB2312"/>
          <w:kern w:val="2"/>
          <w:sz w:val="32"/>
          <w:szCs w:val="32"/>
          <w:highlight w:val="none"/>
          <w:u w:val="none"/>
          <w:shd w:val="clear" w:color="auto" w:fill="FFFFFF"/>
          <w:lang w:val="en-US" w:eastAsia="en-US" w:bidi="ar-SA"/>
        </w:rPr>
        <w:t>A</w:t>
      </w:r>
      <w:r>
        <w:rPr>
          <w:rFonts w:hint="eastAsia" w:ascii="仿宋_GB2312" w:hAnsi="仿宋_GB2312" w:eastAsia="仿宋_GB2312" w:cs="仿宋_GB2312"/>
          <w:kern w:val="2"/>
          <w:sz w:val="32"/>
          <w:szCs w:val="32"/>
          <w:highlight w:val="none"/>
          <w:u w:val="none"/>
          <w:shd w:val="clear" w:color="auto" w:fill="FFFFFF"/>
          <w:lang w:val="en-US" w:eastAsia="zh-CN" w:bidi="ar-SA"/>
        </w:rPr>
        <w:t>标准控制，其余农村污水处理站出水水质按一级</w:t>
      </w:r>
      <w:r>
        <w:rPr>
          <w:rFonts w:hint="eastAsia" w:ascii="仿宋_GB2312" w:hAnsi="仿宋_GB2312" w:eastAsia="仿宋_GB2312" w:cs="仿宋_GB2312"/>
          <w:kern w:val="2"/>
          <w:sz w:val="32"/>
          <w:szCs w:val="32"/>
          <w:highlight w:val="none"/>
          <w:u w:val="none"/>
          <w:shd w:val="clear" w:color="auto" w:fill="FFFFFF"/>
          <w:lang w:val="en-US" w:eastAsia="en-US" w:bidi="ar-SA"/>
        </w:rPr>
        <w:t>B</w:t>
      </w:r>
      <w:r>
        <w:rPr>
          <w:rFonts w:hint="eastAsia" w:ascii="仿宋_GB2312" w:hAnsi="仿宋_GB2312" w:eastAsia="仿宋_GB2312" w:cs="仿宋_GB2312"/>
          <w:kern w:val="2"/>
          <w:sz w:val="32"/>
          <w:szCs w:val="32"/>
          <w:highlight w:val="none"/>
          <w:u w:val="none"/>
          <w:shd w:val="clear" w:color="auto" w:fill="FFFFFF"/>
          <w:lang w:val="en-US" w:eastAsia="zh-CN" w:bidi="ar-SA"/>
        </w:rPr>
        <w:t>排放标准，具体出水水质参数如下：</w:t>
      </w:r>
    </w:p>
    <w:p>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right="0" w:rightChars="0" w:firstLine="0" w:firstLineChars="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表5-3 农村生活污水处理设施出水水质参数表</w:t>
      </w:r>
    </w:p>
    <w:p>
      <w:pPr>
        <w:pStyle w:val="2"/>
        <w:keepNext w:val="0"/>
        <w:keepLines w:val="0"/>
        <w:pageBreakBefore w:val="0"/>
        <w:widowControl w:val="0"/>
        <w:kinsoku/>
        <w:wordWrap/>
        <w:overflowPunct/>
        <w:topLinePunct w:val="0"/>
        <w:autoSpaceDE/>
        <w:autoSpaceDN/>
        <w:bidi w:val="0"/>
        <w:adjustRightInd/>
        <w:snapToGrid/>
        <w:spacing w:after="0" w:line="520" w:lineRule="exact"/>
        <w:ind w:right="0" w:rightChars="0" w:firstLine="5783" w:firstLineChars="1800"/>
        <w:jc w:val="both"/>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（单位：</w:t>
      </w:r>
      <w:r>
        <w:rPr>
          <w:rFonts w:hint="eastAsia" w:ascii="仿宋_GB2312" w:hAnsi="仿宋_GB2312" w:eastAsia="仿宋_GB2312" w:cs="仿宋_GB2312"/>
          <w:b/>
          <w:bCs/>
          <w:kern w:val="2"/>
          <w:sz w:val="32"/>
          <w:szCs w:val="32"/>
          <w:highlight w:val="none"/>
          <w:lang w:val="en-US" w:eastAsia="en-US"/>
        </w:rPr>
        <w:t>mg/L）</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369"/>
        <w:gridCol w:w="1343"/>
        <w:gridCol w:w="1350"/>
        <w:gridCol w:w="1414"/>
        <w:gridCol w:w="1305"/>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47" w:hRule="exact"/>
          <w:jc w:val="center"/>
        </w:trPr>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污染物</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COD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Cr</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BOD</w:t>
            </w:r>
            <w:r>
              <w:rPr>
                <w:rFonts w:hint="eastAsia" w:ascii="仿宋_GB2312" w:hAnsi="仿宋_GB2312" w:eastAsia="仿宋_GB2312" w:cs="仿宋_GB2312"/>
                <w:b/>
                <w:bCs/>
                <w:i w:val="0"/>
                <w:iCs w:val="0"/>
                <w:color w:val="000000"/>
                <w:kern w:val="0"/>
                <w:sz w:val="21"/>
                <w:szCs w:val="21"/>
                <w:u w:val="none"/>
                <w:vertAlign w:val="subscript"/>
                <w:lang w:val="en-US" w:eastAsia="zh-CN" w:bidi="ar"/>
              </w:rPr>
              <w:t>5</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en-US" w:bidi="ar"/>
              </w:rPr>
              <w:t>SS</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氨氮</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12" w:hRule="exact"/>
          <w:jc w:val="center"/>
        </w:trPr>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一级A出水</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50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en-US" w:bidi="ar"/>
              </w:rPr>
              <w:t>10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5</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en-US"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3" w:hRule="exact"/>
          <w:jc w:val="center"/>
        </w:trPr>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一级B出水</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60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20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en-US" w:bidi="ar"/>
              </w:rPr>
              <w:t>20</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8</w:t>
            </w:r>
          </w:p>
        </w:tc>
        <w:tc>
          <w:tcPr>
            <w:shd w:val="clear" w:color="auto" w:fill="FFFFFF"/>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1</w:t>
            </w:r>
          </w:p>
        </w:tc>
      </w:tr>
    </w:tbl>
    <w:p>
      <w:pPr>
        <w:pStyle w:val="6"/>
        <w:pageBreakBefore w:val="0"/>
        <w:widowControl w:val="0"/>
        <w:kinsoku/>
        <w:wordWrap/>
        <w:overflowPunct/>
        <w:topLinePunct w:val="0"/>
        <w:bidi w:val="0"/>
        <w:snapToGrid/>
        <w:spacing w:before="0" w:after="0" w:line="520" w:lineRule="exact"/>
        <w:ind w:left="0" w:leftChars="0" w:firstLine="643" w:firstLineChars="200"/>
        <w:textAlignment w:val="auto"/>
        <w:rPr>
          <w:rFonts w:hint="eastAsia" w:ascii="仿宋_GB2312" w:hAnsi="仿宋_GB2312" w:eastAsia="仿宋_GB2312" w:cs="仿宋_GB2312"/>
          <w:sz w:val="32"/>
          <w:szCs w:val="32"/>
          <w:highlight w:val="none"/>
          <w:lang w:val="en-US" w:eastAsia="zh-CN"/>
        </w:rPr>
      </w:pPr>
      <w:bookmarkStart w:id="284" w:name="_Toc10059"/>
      <w:r>
        <w:rPr>
          <w:rFonts w:hint="eastAsia" w:ascii="仿宋_GB2312" w:hAnsi="仿宋_GB2312" w:eastAsia="仿宋_GB2312" w:cs="仿宋_GB2312"/>
          <w:sz w:val="32"/>
          <w:szCs w:val="32"/>
          <w:highlight w:val="none"/>
          <w:lang w:val="en-US" w:eastAsia="zh-CN"/>
        </w:rPr>
        <w:t>6.运维服务费用</w:t>
      </w:r>
      <w:bookmarkEnd w:id="284"/>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（1）污水处理服务费计算方式（按日计量，按月支付）</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①当实际污水处理量小于污水处理最低需求量</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实际污水处理服务费=污水处理最低需求量*污水处理单价*绩效考核系数</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②当实际污水处理量大于污水处理最低需求量</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实际污水处理服务费=月实际处理水量*污水处理单价*绩效考核系数</w:t>
      </w:r>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bookmarkStart w:id="285" w:name="bookmark349"/>
      <w:bookmarkEnd w:id="285"/>
      <w:bookmarkStart w:id="286" w:name="bookmark348"/>
      <w:bookmarkEnd w:id="286"/>
      <w:r>
        <w:rPr>
          <w:rFonts w:hint="eastAsia" w:ascii="仿宋_GB2312" w:hAnsi="仿宋_GB2312" w:eastAsia="仿宋_GB2312" w:cs="仿宋_GB2312"/>
          <w:b/>
          <w:bCs/>
          <w:sz w:val="32"/>
          <w:szCs w:val="32"/>
          <w:highlight w:val="none"/>
          <w:lang w:val="en-US" w:eastAsia="zh-CN"/>
        </w:rPr>
        <w:t>（2）污水处理最低需求量</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运营期前3年最低需求量设置为设计规模的70%；运营期第4年及以后最低需求量设置为设计规模的</w:t>
      </w:r>
      <w:r>
        <w:rPr>
          <w:rFonts w:hint="eastAsia" w:ascii="仿宋_GB2312" w:hAnsi="仿宋_GB2312" w:eastAsia="仿宋_GB2312" w:cs="仿宋_GB2312"/>
          <w:sz w:val="32"/>
          <w:szCs w:val="32"/>
          <w:highlight w:val="none"/>
          <w:shd w:val="clear" w:color="auto" w:fill="FFFFFF"/>
          <w:lang w:val="en-US" w:eastAsia="en-US"/>
        </w:rPr>
        <w:t>80%</w:t>
      </w:r>
      <w:r>
        <w:rPr>
          <w:rFonts w:hint="eastAsia" w:ascii="仿宋_GB2312" w:hAnsi="仿宋_GB2312" w:eastAsia="仿宋_GB2312" w:cs="仿宋_GB2312"/>
          <w:sz w:val="32"/>
          <w:szCs w:val="32"/>
          <w:highlight w:val="none"/>
          <w:shd w:val="clear" w:color="auto" w:fill="FFFFFF"/>
          <w:lang w:val="en-US" w:eastAsia="zh-CN"/>
        </w:rPr>
        <w:t>。</w:t>
      </w:r>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bookmarkStart w:id="287" w:name="bookmark350"/>
      <w:bookmarkEnd w:id="287"/>
      <w:r>
        <w:rPr>
          <w:rFonts w:hint="eastAsia" w:ascii="仿宋_GB2312" w:hAnsi="仿宋_GB2312" w:eastAsia="仿宋_GB2312" w:cs="仿宋_GB2312"/>
          <w:b/>
          <w:bCs/>
          <w:sz w:val="32"/>
          <w:szCs w:val="32"/>
          <w:highlight w:val="none"/>
          <w:lang w:val="en-US" w:eastAsia="zh-CN"/>
        </w:rPr>
        <w:t>（3）运维费用来源</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shd w:val="clear" w:color="auto" w:fill="FFFFFF"/>
          <w:lang w:val="en-US" w:eastAsia="zh-CN"/>
        </w:rPr>
        <w:t>汕尾市城区农村生活污水处理设施运维费用来源为区级财政，PPP项目污水处理单价中标价为</w:t>
      </w:r>
      <w:r>
        <w:rPr>
          <w:rFonts w:hint="eastAsia" w:ascii="仿宋_GB2312" w:hAnsi="仿宋_GB2312" w:eastAsia="仿宋_GB2312" w:cs="仿宋_GB2312"/>
          <w:sz w:val="32"/>
          <w:szCs w:val="32"/>
          <w:highlight w:val="none"/>
          <w:shd w:val="clear" w:color="auto" w:fill="FFFFFF"/>
          <w:lang w:val="en-US" w:eastAsia="en-US"/>
        </w:rPr>
        <w:t>1</w:t>
      </w:r>
      <w:r>
        <w:rPr>
          <w:rFonts w:hint="eastAsia" w:ascii="仿宋_GB2312" w:hAnsi="仿宋_GB2312" w:eastAsia="仿宋_GB2312" w:cs="仿宋_GB2312"/>
          <w:sz w:val="32"/>
          <w:szCs w:val="32"/>
          <w:highlight w:val="none"/>
          <w:shd w:val="clear" w:color="auto" w:fill="FFFFFF"/>
          <w:lang w:val="en-US" w:eastAsia="zh-CN"/>
        </w:rPr>
        <w:t>.49元/吨，总体运维费用为427.96万元/年；汕尾市城区9个省定贫困村农村污水治理设施的委托运营按照总价包干计价，总价按照</w:t>
      </w:r>
      <w:r>
        <w:rPr>
          <w:rFonts w:hint="eastAsia" w:ascii="仿宋_GB2312" w:hAnsi="仿宋_GB2312" w:eastAsia="仿宋_GB2312" w:cs="仿宋_GB2312"/>
          <w:sz w:val="32"/>
          <w:szCs w:val="32"/>
          <w:highlight w:val="none"/>
          <w:shd w:val="clear" w:color="auto" w:fill="FFFFFF"/>
          <w:lang w:val="en-US" w:eastAsia="en-US"/>
        </w:rPr>
        <w:t>109.</w:t>
      </w:r>
      <w:r>
        <w:rPr>
          <w:rFonts w:hint="eastAsia" w:ascii="仿宋_GB2312" w:hAnsi="仿宋_GB2312" w:eastAsia="仿宋_GB2312" w:cs="仿宋_GB2312"/>
          <w:sz w:val="32"/>
          <w:szCs w:val="32"/>
          <w:highlight w:val="none"/>
          <w:shd w:val="clear" w:color="auto" w:fill="FFFFFF"/>
          <w:lang w:val="en-US" w:eastAsia="zh-CN"/>
        </w:rPr>
        <w:t>36万元/年。雨污分流管网运维用由镇村自行负责。</w:t>
      </w:r>
    </w:p>
    <w:p>
      <w:pPr>
        <w:pStyle w:val="6"/>
        <w:pageBreakBefore w:val="0"/>
        <w:widowControl w:val="0"/>
        <w:kinsoku/>
        <w:wordWrap/>
        <w:overflowPunct/>
        <w:topLinePunct w:val="0"/>
        <w:bidi w:val="0"/>
        <w:snapToGrid/>
        <w:spacing w:before="0" w:after="0" w:line="520" w:lineRule="exact"/>
        <w:ind w:left="0" w:leftChars="0" w:firstLine="643" w:firstLineChars="200"/>
        <w:textAlignment w:val="auto"/>
        <w:rPr>
          <w:rFonts w:hint="eastAsia" w:ascii="仿宋_GB2312" w:hAnsi="仿宋_GB2312" w:eastAsia="仿宋_GB2312" w:cs="仿宋_GB2312"/>
          <w:sz w:val="32"/>
          <w:szCs w:val="32"/>
          <w:highlight w:val="none"/>
          <w:lang w:val="en-US" w:eastAsia="zh-CN"/>
        </w:rPr>
      </w:pPr>
      <w:bookmarkStart w:id="288" w:name="_Toc5813"/>
      <w:r>
        <w:rPr>
          <w:rFonts w:hint="eastAsia" w:ascii="仿宋_GB2312" w:hAnsi="仿宋_GB2312" w:eastAsia="仿宋_GB2312" w:cs="仿宋_GB2312"/>
          <w:sz w:val="32"/>
          <w:szCs w:val="32"/>
          <w:highlight w:val="none"/>
          <w:lang w:val="en-US" w:eastAsia="zh-CN"/>
        </w:rPr>
        <w:t>7.绩效考核</w:t>
      </w:r>
      <w:bookmarkEnd w:id="288"/>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（1）考核内容</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考核内容按照</w:t>
      </w:r>
      <w:r>
        <w:rPr>
          <w:rFonts w:hint="eastAsia" w:ascii="仿宋_GB2312" w:hAnsi="仿宋_GB2312" w:eastAsia="仿宋_GB2312" w:cs="仿宋_GB2312"/>
          <w:sz w:val="32"/>
          <w:szCs w:val="32"/>
          <w:highlight w:val="none"/>
          <w:shd w:val="clear" w:color="auto" w:fill="FFFFFF"/>
          <w:lang w:val="en-US" w:eastAsia="en-US"/>
        </w:rPr>
        <w:t>PPP</w:t>
      </w:r>
      <w:r>
        <w:rPr>
          <w:rFonts w:hint="eastAsia" w:ascii="仿宋_GB2312" w:hAnsi="仿宋_GB2312" w:eastAsia="仿宋_GB2312" w:cs="仿宋_GB2312"/>
          <w:sz w:val="32"/>
          <w:szCs w:val="32"/>
          <w:highlight w:val="none"/>
          <w:shd w:val="clear" w:color="auto" w:fill="FFFFFF"/>
          <w:lang w:val="en-US" w:eastAsia="zh-CN"/>
        </w:rPr>
        <w:t>合同约定的有关运营考核要求和内容进行考核，主要包括 综合管理和专业管理，包括但不限于：</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①综合管理主要针对组织架构、人员技术、工作机制、运营管理方式、应急机制等综合管理效果，</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②专业管理主要针对污水处理维护、安全养护、运营管理、出水水质等具体运营维护和安全生产等。包括但不限于以下内容：</w:t>
      </w:r>
    </w:p>
    <w:p>
      <w:pPr>
        <w:pageBreakBefore w:val="0"/>
        <w:widowControl w:val="0"/>
        <w:kinsoku/>
        <w:wordWrap/>
        <w:overflowPunct/>
        <w:topLinePunct w:val="0"/>
        <w:bidi w:val="0"/>
        <w:adjustRightInd w:val="0"/>
        <w:snapToGrid/>
        <w:spacing w:line="520" w:lineRule="exact"/>
        <w:ind w:left="0" w:leftChars="0" w:firstLine="643"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bookmarkStart w:id="289" w:name="bookmark369"/>
      <w:bookmarkEnd w:id="289"/>
      <w:r>
        <w:rPr>
          <w:rFonts w:hint="eastAsia" w:ascii="仿宋_GB2312" w:hAnsi="仿宋_GB2312" w:eastAsia="仿宋_GB2312" w:cs="仿宋_GB2312"/>
          <w:b/>
          <w:bCs/>
          <w:sz w:val="32"/>
          <w:szCs w:val="32"/>
          <w:highlight w:val="none"/>
          <w:shd w:val="clear" w:color="auto" w:fill="FFFFFF"/>
          <w:lang w:val="en-US" w:eastAsia="zh-CN"/>
        </w:rPr>
        <w:t>一是</w:t>
      </w:r>
      <w:r>
        <w:rPr>
          <w:rFonts w:hint="eastAsia" w:ascii="仿宋_GB2312" w:hAnsi="仿宋_GB2312" w:eastAsia="仿宋_GB2312" w:cs="仿宋_GB2312"/>
          <w:sz w:val="32"/>
          <w:szCs w:val="32"/>
          <w:highlight w:val="none"/>
          <w:shd w:val="clear" w:color="auto" w:fill="FFFFFF"/>
          <w:lang w:val="en-US" w:eastAsia="zh-CN"/>
        </w:rPr>
        <w:t>定期检测。主要指对污水处理设施相关设备的定期检测；</w:t>
      </w:r>
    </w:p>
    <w:p>
      <w:pPr>
        <w:pageBreakBefore w:val="0"/>
        <w:widowControl w:val="0"/>
        <w:kinsoku/>
        <w:wordWrap/>
        <w:overflowPunct/>
        <w:topLinePunct w:val="0"/>
        <w:bidi w:val="0"/>
        <w:adjustRightInd w:val="0"/>
        <w:snapToGrid/>
        <w:spacing w:line="520" w:lineRule="exact"/>
        <w:ind w:left="0" w:leftChars="0" w:firstLine="643"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bookmarkStart w:id="290" w:name="bookmark370"/>
      <w:bookmarkEnd w:id="290"/>
      <w:r>
        <w:rPr>
          <w:rFonts w:hint="eastAsia" w:ascii="仿宋_GB2312" w:hAnsi="仿宋_GB2312" w:eastAsia="仿宋_GB2312" w:cs="仿宋_GB2312"/>
          <w:b/>
          <w:bCs/>
          <w:sz w:val="32"/>
          <w:szCs w:val="32"/>
          <w:highlight w:val="none"/>
          <w:shd w:val="clear" w:color="auto" w:fill="FFFFFF"/>
          <w:lang w:val="en-US" w:eastAsia="zh-CN"/>
        </w:rPr>
        <w:t>二是</w:t>
      </w:r>
      <w:r>
        <w:rPr>
          <w:rFonts w:hint="eastAsia" w:ascii="仿宋_GB2312" w:hAnsi="仿宋_GB2312" w:eastAsia="仿宋_GB2312" w:cs="仿宋_GB2312"/>
          <w:sz w:val="32"/>
          <w:szCs w:val="32"/>
          <w:highlight w:val="none"/>
          <w:shd w:val="clear" w:color="auto" w:fill="FFFFFF"/>
          <w:lang w:val="en-US" w:eastAsia="zh-CN"/>
        </w:rPr>
        <w:t>达到正常使用标准的日常管养。指污水处理厂相关设备的维护保养、损坏的修复，使设备完好状态达到满足安全生产、稳定运行的完好率；</w:t>
      </w:r>
    </w:p>
    <w:p>
      <w:pPr>
        <w:pageBreakBefore w:val="0"/>
        <w:widowControl w:val="0"/>
        <w:kinsoku/>
        <w:wordWrap/>
        <w:overflowPunct/>
        <w:topLinePunct w:val="0"/>
        <w:bidi w:val="0"/>
        <w:adjustRightInd w:val="0"/>
        <w:snapToGrid/>
        <w:spacing w:line="520" w:lineRule="exact"/>
        <w:ind w:left="0" w:leftChars="0" w:firstLine="643"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bookmarkStart w:id="291" w:name="bookmark371"/>
      <w:bookmarkEnd w:id="291"/>
      <w:r>
        <w:rPr>
          <w:rFonts w:hint="eastAsia" w:ascii="仿宋_GB2312" w:hAnsi="仿宋_GB2312" w:eastAsia="仿宋_GB2312" w:cs="仿宋_GB2312"/>
          <w:b/>
          <w:bCs/>
          <w:sz w:val="32"/>
          <w:szCs w:val="32"/>
          <w:highlight w:val="none"/>
          <w:shd w:val="clear" w:color="auto" w:fill="FFFFFF"/>
          <w:lang w:val="en-US" w:eastAsia="zh-CN"/>
        </w:rPr>
        <w:t>三是</w:t>
      </w:r>
      <w:r>
        <w:rPr>
          <w:rFonts w:hint="eastAsia" w:ascii="仿宋_GB2312" w:hAnsi="仿宋_GB2312" w:eastAsia="仿宋_GB2312" w:cs="仿宋_GB2312"/>
          <w:sz w:val="32"/>
          <w:szCs w:val="32"/>
          <w:highlight w:val="none"/>
          <w:shd w:val="clear" w:color="auto" w:fill="FFFFFF"/>
          <w:lang w:val="en-US" w:eastAsia="zh-CN"/>
        </w:rPr>
        <w:t>设备材料采购。包括设施损坏更换或重置、构件更换等采购、补给；</w:t>
      </w:r>
    </w:p>
    <w:p>
      <w:pPr>
        <w:pageBreakBefore w:val="0"/>
        <w:widowControl w:val="0"/>
        <w:kinsoku/>
        <w:wordWrap/>
        <w:overflowPunct/>
        <w:topLinePunct w:val="0"/>
        <w:bidi w:val="0"/>
        <w:adjustRightInd w:val="0"/>
        <w:snapToGrid/>
        <w:spacing w:line="520" w:lineRule="exact"/>
        <w:ind w:left="0" w:leftChars="0" w:firstLine="643"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bookmarkStart w:id="292" w:name="bookmark372"/>
      <w:bookmarkEnd w:id="292"/>
      <w:r>
        <w:rPr>
          <w:rFonts w:hint="eastAsia" w:ascii="仿宋_GB2312" w:hAnsi="仿宋_GB2312" w:eastAsia="仿宋_GB2312" w:cs="仿宋_GB2312"/>
          <w:b/>
          <w:bCs/>
          <w:sz w:val="32"/>
          <w:szCs w:val="32"/>
          <w:highlight w:val="none"/>
          <w:shd w:val="clear" w:color="auto" w:fill="FFFFFF"/>
          <w:lang w:val="en-US" w:eastAsia="zh-CN"/>
        </w:rPr>
        <w:t>四是</w:t>
      </w:r>
      <w:r>
        <w:rPr>
          <w:rFonts w:hint="eastAsia" w:ascii="仿宋_GB2312" w:hAnsi="仿宋_GB2312" w:eastAsia="仿宋_GB2312" w:cs="仿宋_GB2312"/>
          <w:sz w:val="32"/>
          <w:szCs w:val="32"/>
          <w:highlight w:val="none"/>
          <w:shd w:val="clear" w:color="auto" w:fill="FFFFFF"/>
          <w:lang w:val="en-US" w:eastAsia="zh-CN"/>
        </w:rPr>
        <w:t>岀水水质符合相关要求。</w:t>
      </w:r>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highlight w:val="none"/>
          <w:lang w:val="en-US" w:eastAsia="zh-CN"/>
        </w:rPr>
        <w:t>（2）考核方式</w:t>
      </w:r>
    </w:p>
    <w:p>
      <w:pPr>
        <w:pageBreakBefore w:val="0"/>
        <w:widowControl w:val="0"/>
        <w:numPr>
          <w:ilvl w:val="0"/>
          <w:numId w:val="0"/>
        </w:numPr>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①根据</w:t>
      </w:r>
      <w:r>
        <w:rPr>
          <w:rFonts w:hint="eastAsia" w:ascii="仿宋_GB2312" w:hAnsi="仿宋_GB2312" w:eastAsia="仿宋_GB2312" w:cs="仿宋_GB2312"/>
          <w:sz w:val="32"/>
          <w:szCs w:val="32"/>
          <w:highlight w:val="none"/>
          <w:shd w:val="clear" w:color="auto" w:fill="FFFFFF"/>
          <w:lang w:val="en-US" w:eastAsia="en-US"/>
        </w:rPr>
        <w:t>PPP</w:t>
      </w:r>
      <w:r>
        <w:rPr>
          <w:rFonts w:hint="eastAsia" w:ascii="仿宋_GB2312" w:hAnsi="仿宋_GB2312" w:eastAsia="仿宋_GB2312" w:cs="仿宋_GB2312"/>
          <w:sz w:val="32"/>
          <w:szCs w:val="32"/>
          <w:highlight w:val="none"/>
          <w:shd w:val="clear" w:color="auto" w:fill="FFFFFF"/>
          <w:lang w:val="en-US" w:eastAsia="zh-CN"/>
        </w:rPr>
        <w:t>合同约定运营绩效考核标准和政府考核通知要求，广州襄绿环保设备有限公司全面配合和协助岭南水务（汕尾）有限公司完成政府对项目的绩效考核，若广州襄绿环保设备有限公司未能派人参与考核的，不影响政府出具考核结果。</w:t>
      </w:r>
    </w:p>
    <w:p>
      <w:pPr>
        <w:pageBreakBefore w:val="0"/>
        <w:widowControl w:val="0"/>
        <w:kinsoku/>
        <w:wordWrap/>
        <w:overflowPunct/>
        <w:topLinePunct w:val="0"/>
        <w:bidi w:val="0"/>
        <w:adjustRightInd w:val="0"/>
        <w:snapToGrid/>
        <w:spacing w:line="520" w:lineRule="exact"/>
        <w:ind w:left="0" w:leftChars="0" w:firstLine="640" w:firstLineChars="200"/>
        <w:jc w:val="both"/>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②政府出具的考核报告，将明确岭南水务（汕尾）有限公司和广州襄绿环保设备有限公司运营范围内的运维状况是否符合要求，以及运维工作存在的缺陷和问题，同时根据考核标准对考核结果打分依据政府出具的考核报告及评分结果，岭南水务（汕尾）有限公司按照岭南水务（汕尾）有限公司和广州襄绿环保设备有限公司在运维管理服务中分别运营的范围进行责任归属拆分及评分，岭南水务（汕尾）有限公司针对广州襄绿环保设备有限公司运营范围进一步出具针对广州襄绿环保设备有限公司的绩效考核报告及评分结果，根据对广州襄绿环保设备有限公司的绩效考核结果及评分，确定广州襄绿环保设备有限公司运维服务费调整比例。</w:t>
      </w:r>
    </w:p>
    <w:p>
      <w:pPr>
        <w:pageBreakBefore w:val="0"/>
        <w:widowControl w:val="0"/>
        <w:kinsoku/>
        <w:wordWrap/>
        <w:overflowPunct/>
        <w:topLinePunct w:val="0"/>
        <w:autoSpaceDE w:val="0"/>
        <w:autoSpaceDN w:val="0"/>
        <w:bidi w:val="0"/>
        <w:adjustRightInd w:val="0"/>
        <w:snapToGrid/>
        <w:spacing w:line="520" w:lineRule="exact"/>
        <w:ind w:left="0" w:leftChars="0" w:firstLine="643" w:firstLineChars="200"/>
        <w:textAlignment w:val="auto"/>
        <w:rPr>
          <w:rFonts w:hint="eastAsia" w:ascii="仿宋_GB2312" w:hAnsi="仿宋_GB2312" w:eastAsia="仿宋_GB2312" w:cs="仿宋_GB2312"/>
          <w:b/>
          <w:bCs/>
          <w:sz w:val="32"/>
          <w:szCs w:val="32"/>
          <w:highlight w:val="none"/>
          <w:lang w:val="en-US" w:eastAsia="zh-CN"/>
        </w:rPr>
      </w:pPr>
      <w:r>
        <w:rPr>
          <w:rFonts w:hint="eastAsia" w:ascii="仿宋_GB2312" w:hAnsi="仿宋_GB2312" w:eastAsia="仿宋_GB2312" w:cs="仿宋_GB2312"/>
          <w:b/>
          <w:bCs/>
          <w:sz w:val="32"/>
          <w:szCs w:val="32"/>
          <w:highlight w:val="none"/>
          <w:lang w:val="en-US" w:eastAsia="zh-CN"/>
        </w:rPr>
        <w:t>（3）评价标准</w:t>
      </w:r>
    </w:p>
    <w:p>
      <w:pPr>
        <w:pStyle w:val="2"/>
        <w:pageBreakBefore w:val="0"/>
        <w:widowControl w:val="0"/>
        <w:kinsoku/>
        <w:wordWrap/>
        <w:overflowPunct/>
        <w:topLinePunct w:val="0"/>
        <w:bidi w:val="0"/>
        <w:snapToGrid/>
        <w:spacing w:after="0" w:line="520" w:lineRule="exact"/>
        <w:ind w:left="0" w:leftChars="0" w:firstLine="640" w:firstLineChars="200"/>
        <w:textAlignment w:val="auto"/>
        <w:rPr>
          <w:rFonts w:hint="eastAsia" w:ascii="仿宋_GB2312" w:hAnsi="仿宋_GB2312" w:eastAsia="仿宋_GB2312" w:cs="仿宋_GB2312"/>
          <w:kern w:val="2"/>
          <w:sz w:val="32"/>
          <w:szCs w:val="32"/>
          <w:highlight w:val="none"/>
          <w:shd w:val="clear" w:color="auto" w:fill="FFFFFF"/>
          <w:lang w:val="en-US" w:eastAsia="zh-CN" w:bidi="ar-SA"/>
        </w:rPr>
      </w:pPr>
      <w:r>
        <w:rPr>
          <w:rFonts w:hint="eastAsia" w:ascii="仿宋_GB2312" w:hAnsi="仿宋_GB2312" w:eastAsia="仿宋_GB2312" w:cs="仿宋_GB2312"/>
          <w:kern w:val="2"/>
          <w:sz w:val="32"/>
          <w:szCs w:val="32"/>
          <w:highlight w:val="none"/>
          <w:shd w:val="clear" w:color="auto" w:fill="FFFFFF"/>
          <w:lang w:val="en-US" w:eastAsia="zh-CN" w:bidi="ar-SA"/>
        </w:rPr>
        <w:t>汕尾市城区运维期间绩效考核评价标准见下表。</w:t>
      </w:r>
    </w:p>
    <w:p>
      <w:pPr>
        <w:pStyle w:val="2"/>
        <w:pageBreakBefore w:val="0"/>
        <w:widowControl w:val="0"/>
        <w:kinsoku/>
        <w:wordWrap/>
        <w:overflowPunct/>
        <w:topLinePunct w:val="0"/>
        <w:bidi w:val="0"/>
        <w:snapToGrid/>
        <w:spacing w:after="0" w:line="520" w:lineRule="exact"/>
        <w:ind w:left="0" w:leftChars="0" w:right="0" w:rightChars="0" w:firstLine="643" w:firstLineChars="200"/>
        <w:jc w:val="center"/>
        <w:textAlignment w:val="auto"/>
        <w:rPr>
          <w:rFonts w:hint="eastAsia" w:ascii="仿宋_GB2312" w:hAnsi="仿宋_GB2312" w:eastAsia="仿宋_GB2312" w:cs="仿宋_GB2312"/>
          <w:b/>
          <w:bCs/>
          <w:kern w:val="2"/>
          <w:sz w:val="32"/>
          <w:szCs w:val="32"/>
          <w:highlight w:val="none"/>
          <w:lang w:val="en-US" w:eastAsia="zh-CN"/>
        </w:rPr>
      </w:pPr>
      <w:r>
        <w:rPr>
          <w:rFonts w:hint="eastAsia" w:ascii="仿宋_GB2312" w:hAnsi="仿宋_GB2312" w:eastAsia="仿宋_GB2312" w:cs="仿宋_GB2312"/>
          <w:b/>
          <w:bCs/>
          <w:kern w:val="2"/>
          <w:sz w:val="32"/>
          <w:szCs w:val="32"/>
          <w:highlight w:val="none"/>
          <w:lang w:val="en-US" w:eastAsia="zh-CN"/>
        </w:rPr>
        <w:t>表5-4运营期绩效考核评价标准</w:t>
      </w:r>
    </w:p>
    <w:tbl>
      <w:tblPr>
        <w:tblStyle w:val="20"/>
        <w:tblW w:w="8564" w:type="dxa"/>
        <w:jc w:val="center"/>
        <w:tblLayout w:type="fixed"/>
        <w:tblCellMar>
          <w:top w:w="0" w:type="dxa"/>
          <w:left w:w="10" w:type="dxa"/>
          <w:bottom w:w="0" w:type="dxa"/>
          <w:right w:w="10" w:type="dxa"/>
        </w:tblCellMar>
      </w:tblPr>
      <w:tblGrid>
        <w:gridCol w:w="1465"/>
        <w:gridCol w:w="742"/>
        <w:gridCol w:w="3445"/>
        <w:gridCol w:w="2912"/>
      </w:tblGrid>
      <w:tr>
        <w:tblPrEx>
          <w:tblCellMar>
            <w:top w:w="0" w:type="dxa"/>
            <w:left w:w="10" w:type="dxa"/>
            <w:bottom w:w="0" w:type="dxa"/>
            <w:right w:w="10" w:type="dxa"/>
          </w:tblCellMar>
        </w:tblPrEx>
        <w:trPr>
          <w:trHeight w:val="331" w:hRule="exact"/>
          <w:jc w:val="center"/>
        </w:trPr>
        <w:tc>
          <w:tcPr>
            <w:tcW w:w="1465" w:type="dxa"/>
            <w:tcBorders>
              <w:top w:val="single" w:color="auto" w:sz="4" w:space="0"/>
              <w:left w:val="single" w:color="auto" w:sz="4" w:space="0"/>
            </w:tcBorders>
            <w:shd w:val="clear" w:color="auto" w:fill="FFFFFF"/>
            <w:vAlign w:val="center"/>
          </w:tcPr>
          <w:p>
            <w:pPr>
              <w:widowControl w:val="0"/>
              <w:jc w:val="center"/>
              <w:rPr>
                <w:rFonts w:hint="eastAsia" w:ascii="仿宋_GB2312" w:hAnsi="仿宋_GB2312" w:eastAsia="仿宋_GB2312" w:cs="仿宋_GB2312"/>
                <w:sz w:val="10"/>
                <w:szCs w:val="10"/>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序号</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考核内容及要求</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36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评分标准</w:t>
            </w:r>
            <w:r>
              <w:rPr>
                <w:rFonts w:hint="eastAsia" w:ascii="仿宋_GB2312" w:hAnsi="仿宋_GB2312" w:eastAsia="仿宋_GB2312" w:cs="仿宋_GB2312"/>
                <w:color w:val="000000"/>
                <w:spacing w:val="0"/>
                <w:w w:val="100"/>
                <w:position w:val="0"/>
                <w:sz w:val="24"/>
                <w:szCs w:val="24"/>
              </w:rPr>
              <w:t>（100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30" w:hRule="exact"/>
          <w:jc w:val="center"/>
        </w:trPr>
        <w:tc>
          <w:tcPr>
            <w:tcW w:w="1465" w:type="dxa"/>
            <w:vMerge w:val="restart"/>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40" w:line="240" w:lineRule="auto"/>
              <w:ind w:left="0" w:right="0" w:firstLine="280"/>
              <w:jc w:val="both"/>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安全管理</w:t>
            </w:r>
          </w:p>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280"/>
              <w:jc w:val="both"/>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1</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各行政村（自然村）落实专门运行维护管理员</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6" w:lineRule="exact"/>
              <w:ind w:left="360" w:right="0" w:hanging="36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专门管理人员配备每少</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人扣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3</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43"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280"/>
              <w:jc w:val="both"/>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2</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管理员应进行相关法律法规和专 业技术等理论知识和操作技能培训</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19"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管理人员无用地上岗的每发 现一次扣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30"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280"/>
              <w:jc w:val="both"/>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3</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10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设置抢修、服务电话</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2"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没有设立抢修服务电话的扣</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23"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4</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配足运维工具和常用维修材料</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2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 xml:space="preserve">维修工具及材料不足的扣 </w:t>
            </w:r>
            <w:r>
              <w:rPr>
                <w:rFonts w:hint="eastAsia" w:ascii="仿宋_GB2312" w:hAnsi="仿宋_GB2312" w:eastAsia="仿宋_GB2312" w:cs="仿宋_GB2312"/>
                <w:color w:val="000000"/>
                <w:spacing w:val="0"/>
                <w:w w:val="100"/>
                <w:position w:val="0"/>
                <w:sz w:val="24"/>
                <w:szCs w:val="24"/>
              </w:rPr>
              <w:t>3</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43" w:hRule="exact"/>
          <w:jc w:val="center"/>
        </w:trPr>
        <w:tc>
          <w:tcPr>
            <w:tcW w:w="1465" w:type="dxa"/>
            <w:vMerge w:val="restart"/>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40" w:line="311"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污水处理设施 及管网的运行 维护</w:t>
            </w:r>
          </w:p>
          <w:p>
            <w:pPr>
              <w:pStyle w:val="102"/>
              <w:keepNext w:val="0"/>
              <w:keepLines w:val="0"/>
              <w:widowControl w:val="0"/>
              <w:shd w:val="clear" w:color="auto" w:fill="auto"/>
              <w:bidi w:val="0"/>
              <w:spacing w:before="0" w:after="0" w:line="271"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4"/>
                <w:szCs w:val="24"/>
              </w:rPr>
              <w:t>（50</w:t>
            </w:r>
            <w:r>
              <w:rPr>
                <w:rFonts w:hint="eastAsia" w:ascii="仿宋_GB2312" w:hAnsi="仿宋_GB2312" w:eastAsia="仿宋_GB2312" w:cs="仿宋_GB2312"/>
                <w:color w:val="000000"/>
                <w:spacing w:val="0"/>
                <w:w w:val="100"/>
                <w:position w:val="0"/>
                <w:sz w:val="22"/>
                <w:szCs w:val="22"/>
              </w:rPr>
              <w:t>分）</w:t>
            </w: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5</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每周对终端进出水水质和水量进行观察记录</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不按规定定期观察记录的， 每发现一次扣</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36"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6</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7"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每半个月对格栅</w:t>
            </w:r>
            <w:r>
              <w:rPr>
                <w:rFonts w:hint="eastAsia" w:ascii="仿宋_GB2312" w:hAnsi="仿宋_GB2312" w:eastAsia="仿宋_GB2312" w:cs="仿宋_GB2312"/>
                <w:color w:val="000000"/>
                <w:spacing w:val="0"/>
                <w:w w:val="100"/>
                <w:position w:val="0"/>
                <w:sz w:val="22"/>
                <w:szCs w:val="22"/>
                <w:lang w:val="en-US" w:eastAsia="zh-CN"/>
              </w:rPr>
              <w:t>、</w:t>
            </w:r>
            <w:r>
              <w:rPr>
                <w:rFonts w:hint="eastAsia" w:ascii="仿宋_GB2312" w:hAnsi="仿宋_GB2312" w:eastAsia="仿宋_GB2312" w:cs="仿宋_GB2312"/>
                <w:color w:val="000000"/>
                <w:spacing w:val="0"/>
                <w:w w:val="100"/>
                <w:position w:val="0"/>
                <w:sz w:val="22"/>
                <w:szCs w:val="22"/>
              </w:rPr>
              <w:t>清扫口等进行一次清理</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6"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不按规定定期清理的，每发现一次扣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47"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7</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2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每周对调节池进行检查</w:t>
            </w:r>
            <w:r>
              <w:rPr>
                <w:rFonts w:hint="eastAsia" w:ascii="仿宋_GB2312" w:hAnsi="仿宋_GB2312" w:eastAsia="仿宋_GB2312" w:cs="仿宋_GB2312"/>
                <w:color w:val="000000"/>
                <w:spacing w:val="0"/>
                <w:w w:val="100"/>
                <w:position w:val="0"/>
                <w:sz w:val="22"/>
                <w:szCs w:val="22"/>
                <w:lang w:eastAsia="zh-CN"/>
              </w:rPr>
              <w:t>，</w:t>
            </w:r>
            <w:r>
              <w:rPr>
                <w:rFonts w:hint="eastAsia" w:ascii="仿宋_GB2312" w:hAnsi="仿宋_GB2312" w:eastAsia="仿宋_GB2312" w:cs="仿宋_GB2312"/>
                <w:color w:val="000000"/>
                <w:spacing w:val="0"/>
                <w:w w:val="100"/>
                <w:position w:val="0"/>
                <w:sz w:val="22"/>
                <w:szCs w:val="22"/>
              </w:rPr>
              <w:t>每三个月清淤一次</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调节池不按规定定期检查 清理的，没发现一次扣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32"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28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8</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保持处理设施及管网无堵塞、 渗漏、开裂、破损、板结、淤积，发现问题及时清理或修复</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4"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一体化设备发现问题未及 时清理或修复的没发现一处扣</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940" w:hRule="exact"/>
          <w:jc w:val="center"/>
        </w:trPr>
        <w:tc>
          <w:tcPr>
            <w:tcW w:w="1465" w:type="dxa"/>
            <w:vMerge w:val="continue"/>
            <w:tcBorders>
              <w:lef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28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9</w:t>
            </w:r>
          </w:p>
        </w:tc>
        <w:tc>
          <w:tcPr>
            <w:tcW w:w="3445" w:type="dxa"/>
            <w:tcBorders>
              <w:top w:val="single" w:color="auto" w:sz="4" w:space="0"/>
              <w:left w:val="single" w:color="auto" w:sz="4" w:space="0"/>
            </w:tcBorders>
            <w:shd w:val="clear" w:color="auto" w:fill="FFFFFF"/>
            <w:vAlign w:val="center"/>
          </w:tcPr>
          <w:p>
            <w:pPr>
              <w:pStyle w:val="102"/>
              <w:keepNext w:val="0"/>
              <w:keepLines w:val="0"/>
              <w:widowControl w:val="0"/>
              <w:shd w:val="clear" w:color="auto" w:fill="auto"/>
              <w:bidi w:val="0"/>
              <w:spacing w:before="0" w:after="0" w:line="317"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每周检查并记录水泵风</w:t>
            </w:r>
            <w:r>
              <w:rPr>
                <w:rFonts w:hint="eastAsia" w:ascii="仿宋_GB2312" w:hAnsi="仿宋_GB2312" w:eastAsia="仿宋_GB2312" w:cs="仿宋_GB2312"/>
                <w:color w:val="000000"/>
                <w:spacing w:val="0"/>
                <w:w w:val="100"/>
                <w:position w:val="0"/>
                <w:sz w:val="22"/>
                <w:szCs w:val="22"/>
                <w:lang w:val="en-US" w:eastAsia="zh-CN"/>
              </w:rPr>
              <w:t>机</w:t>
            </w:r>
            <w:r>
              <w:rPr>
                <w:rFonts w:hint="eastAsia" w:ascii="仿宋_GB2312" w:hAnsi="仿宋_GB2312" w:eastAsia="仿宋_GB2312" w:cs="仿宋_GB2312"/>
                <w:color w:val="000000"/>
                <w:spacing w:val="0"/>
                <w:w w:val="100"/>
                <w:position w:val="0"/>
                <w:sz w:val="22"/>
                <w:szCs w:val="22"/>
              </w:rPr>
              <w:t>运行情况</w:t>
            </w:r>
          </w:p>
        </w:tc>
        <w:tc>
          <w:tcPr>
            <w:tcW w:w="2912" w:type="dxa"/>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不按规定定期检查记录的， 每发现一次扣</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continue"/>
            <w:tcBorders>
              <w:left w:val="single" w:color="auto" w:sz="4" w:space="0"/>
              <w:bottom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4"/>
                <w:szCs w:val="24"/>
              </w:rPr>
            </w:pPr>
            <w:r>
              <w:rPr>
                <w:rFonts w:hint="eastAsia" w:ascii="仿宋_GB2312" w:hAnsi="仿宋_GB2312" w:eastAsia="仿宋_GB2312" w:cs="仿宋_GB2312"/>
                <w:color w:val="000000"/>
                <w:spacing w:val="0"/>
                <w:w w:val="100"/>
                <w:position w:val="0"/>
                <w:sz w:val="24"/>
                <w:szCs w:val="24"/>
              </w:rPr>
              <w:t>10</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02"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及时修复损坏或运行不正常的水泵、风机等动力终端</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5"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设备有损坏不及时更换的扣</w:t>
            </w: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restart"/>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水质水量监测 考核</w:t>
            </w:r>
          </w:p>
          <w:p>
            <w:pPr>
              <w:jc w:val="center"/>
              <w:rPr>
                <w:rFonts w:hint="eastAsia" w:ascii="仿宋_GB2312" w:hAnsi="仿宋_GB2312" w:eastAsia="仿宋_GB2312" w:cs="仿宋_GB2312"/>
              </w:rPr>
            </w:pPr>
            <w:r>
              <w:rPr>
                <w:rFonts w:hint="eastAsia" w:ascii="仿宋_GB2312" w:hAnsi="仿宋_GB2312" w:eastAsia="仿宋_GB2312" w:cs="仿宋_GB2312"/>
                <w:color w:val="000000"/>
                <w:spacing w:val="0"/>
                <w:w w:val="100"/>
                <w:position w:val="0"/>
                <w:sz w:val="24"/>
                <w:szCs w:val="24"/>
              </w:rPr>
              <w:t>（20</w:t>
            </w:r>
            <w:r>
              <w:rPr>
                <w:rFonts w:hint="eastAsia" w:ascii="仿宋_GB2312" w:hAnsi="仿宋_GB2312" w:eastAsia="仿宋_GB2312" w:cs="仿宋_GB2312"/>
                <w:color w:val="000000"/>
                <w:spacing w:val="0"/>
                <w:w w:val="100"/>
                <w:position w:val="0"/>
                <w:sz w:val="22"/>
                <w:szCs w:val="22"/>
              </w:rPr>
              <w:t>分）</w:t>
            </w: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11</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按时完成水量任务</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未完成处理水量任务扣</w:t>
            </w: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1036" w:hRule="exact"/>
          <w:jc w:val="center"/>
        </w:trPr>
        <w:tc>
          <w:tcPr>
            <w:tcW w:w="1465" w:type="dxa"/>
            <w:vMerge w:val="continue"/>
            <w:tcBorders>
              <w:left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12</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07"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水质检测项目和检测周期按规定执行，水质的检测分析方法、样本的采集与保存等符合国家 有关规定</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5"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不按相关规定执行的，每次各扣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continue"/>
            <w:tcBorders>
              <w:left w:val="single" w:color="auto" w:sz="4" w:space="0"/>
              <w:bottom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240" w:firstLineChars="0"/>
              <w:jc w:val="both"/>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13</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定期、按时向主管部门提交水质检测报告</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24"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每缺一次扣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723" w:hRule="exact"/>
          <w:jc w:val="center"/>
        </w:trPr>
        <w:tc>
          <w:tcPr>
            <w:tcW w:w="1465" w:type="dxa"/>
            <w:vMerge w:val="restart"/>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40" w:line="306" w:lineRule="exact"/>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运维服务公示 牌</w:t>
            </w:r>
          </w:p>
          <w:p>
            <w:pPr>
              <w:jc w:val="center"/>
              <w:rPr>
                <w:rFonts w:hint="eastAsia" w:ascii="仿宋_GB2312" w:hAnsi="仿宋_GB2312" w:eastAsia="仿宋_GB2312" w:cs="仿宋_GB2312"/>
              </w:rPr>
            </w:pP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240" w:firstLineChars="0"/>
              <w:jc w:val="both"/>
              <w:rPr>
                <w:rFonts w:hint="eastAsia" w:ascii="仿宋_GB2312" w:hAnsi="仿宋_GB2312" w:eastAsia="仿宋_GB2312" w:cs="仿宋_GB2312"/>
                <w:kern w:val="2"/>
                <w:sz w:val="24"/>
                <w:szCs w:val="24"/>
                <w:u w:val="none"/>
                <w:shd w:val="clear" w:color="auto" w:fill="auto"/>
                <w:lang w:val="zh-TW" w:eastAsia="zh-TW" w:bidi="zh-TW"/>
              </w:rPr>
            </w:pPr>
            <w:r>
              <w:rPr>
                <w:rFonts w:hint="eastAsia" w:ascii="仿宋_GB2312" w:hAnsi="仿宋_GB2312" w:eastAsia="仿宋_GB2312" w:cs="仿宋_GB2312"/>
                <w:color w:val="000000"/>
                <w:spacing w:val="0"/>
                <w:w w:val="100"/>
                <w:position w:val="0"/>
                <w:sz w:val="24"/>
                <w:szCs w:val="24"/>
              </w:rPr>
              <w:t>14</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04"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每个自然村处理池旁设立公示 牌一块，规格尺寸按相关部门的统一标准</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5"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未按要求安装及制作运维 服务公示牌扣</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1615" w:hRule="exact"/>
          <w:jc w:val="center"/>
        </w:trPr>
        <w:tc>
          <w:tcPr>
            <w:tcW w:w="1465" w:type="dxa"/>
            <w:vMerge w:val="continue"/>
            <w:tcBorders>
              <w:left w:val="single" w:color="auto" w:sz="4" w:space="0"/>
              <w:bottom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240" w:firstLineChars="0"/>
              <w:jc w:val="both"/>
              <w:rPr>
                <w:rFonts w:hint="eastAsia" w:ascii="仿宋_GB2312" w:hAnsi="仿宋_GB2312" w:eastAsia="仿宋_GB2312" w:cs="仿宋_GB2312"/>
                <w:kern w:val="2"/>
                <w:sz w:val="24"/>
                <w:szCs w:val="24"/>
                <w:u w:val="none"/>
                <w:shd w:val="clear" w:color="auto" w:fill="auto"/>
                <w:lang w:val="zh-TW" w:eastAsia="zh-TW" w:bidi="zh-TW"/>
              </w:rPr>
            </w:pPr>
            <w:r>
              <w:rPr>
                <w:rFonts w:hint="eastAsia" w:ascii="仿宋_GB2312" w:hAnsi="仿宋_GB2312" w:eastAsia="仿宋_GB2312" w:cs="仿宋_GB2312"/>
                <w:color w:val="000000"/>
                <w:spacing w:val="0"/>
                <w:w w:val="100"/>
                <w:position w:val="0"/>
                <w:sz w:val="24"/>
                <w:szCs w:val="24"/>
              </w:rPr>
              <w:t>15</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10"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公示牌上应包含项目名称、处理 规模、运维单位、移交日期，运 维单位服务人员照片、姓名、服务 和抢修电话，乡镇、村监 督投诉电话等信息</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9"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公示牌内容每缺失一项扣</w:t>
            </w:r>
            <w:r>
              <w:rPr>
                <w:rFonts w:hint="eastAsia" w:ascii="仿宋_GB2312" w:hAnsi="仿宋_GB2312" w:eastAsia="仿宋_GB2312" w:cs="仿宋_GB2312"/>
                <w:color w:val="000000"/>
                <w:spacing w:val="0"/>
                <w:w w:val="100"/>
                <w:position w:val="0"/>
                <w:sz w:val="22"/>
                <w:szCs w:val="22"/>
                <w:lang w:val="en-US" w:eastAsia="zh-CN"/>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5</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restart"/>
            <w:tcBorders>
              <w:top w:val="single" w:color="auto" w:sz="4" w:space="0"/>
              <w:left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right="0" w:firstLine="0"/>
              <w:jc w:val="center"/>
              <w:rPr>
                <w:rFonts w:hint="eastAsia" w:ascii="仿宋_GB2312" w:hAnsi="仿宋_GB2312" w:eastAsia="仿宋_GB2312" w:cs="仿宋_GB2312"/>
                <w:sz w:val="22"/>
                <w:szCs w:val="22"/>
              </w:rPr>
            </w:pPr>
            <w:r>
              <w:rPr>
                <w:rFonts w:hint="eastAsia" w:ascii="仿宋_GB2312" w:hAnsi="仿宋_GB2312" w:eastAsia="仿宋_GB2312" w:cs="仿宋_GB2312"/>
                <w:color w:val="000000"/>
                <w:spacing w:val="0"/>
                <w:w w:val="100"/>
                <w:position w:val="0"/>
                <w:sz w:val="22"/>
                <w:szCs w:val="22"/>
              </w:rPr>
              <w:t>档案台账记录</w:t>
            </w:r>
          </w:p>
          <w:p>
            <w:pPr>
              <w:tabs>
                <w:tab w:val="left" w:pos="480"/>
              </w:tabs>
              <w:jc w:val="center"/>
              <w:rPr>
                <w:rFonts w:hint="eastAsia" w:ascii="仿宋_GB2312" w:hAnsi="仿宋_GB2312" w:eastAsia="仿宋_GB2312" w:cs="仿宋_GB2312"/>
                <w:lang w:eastAsia="zh-CN"/>
              </w:rPr>
            </w:pPr>
            <w:r>
              <w:rPr>
                <w:rFonts w:hint="eastAsia" w:ascii="仿宋_GB2312" w:hAnsi="仿宋_GB2312" w:eastAsia="仿宋_GB2312" w:cs="仿宋_GB2312"/>
                <w:color w:val="000000"/>
                <w:spacing w:val="0"/>
                <w:w w:val="100"/>
                <w:position w:val="0"/>
                <w:sz w:val="24"/>
                <w:szCs w:val="24"/>
              </w:rPr>
              <w:t>（10</w:t>
            </w:r>
            <w:r>
              <w:rPr>
                <w:rFonts w:hint="eastAsia" w:ascii="仿宋_GB2312" w:hAnsi="仿宋_GB2312" w:eastAsia="仿宋_GB2312" w:cs="仿宋_GB2312"/>
                <w:color w:val="000000"/>
                <w:spacing w:val="0"/>
                <w:w w:val="100"/>
                <w:position w:val="0"/>
                <w:sz w:val="22"/>
                <w:szCs w:val="22"/>
              </w:rPr>
              <w:t>分）</w:t>
            </w: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240" w:firstLineChars="0"/>
              <w:jc w:val="both"/>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16</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保留工程竣工图、县级综合验收意见等相关档案资料</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6"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档案内容每缺少一项扣</w:t>
            </w:r>
            <w:r>
              <w:rPr>
                <w:rFonts w:hint="eastAsia" w:ascii="仿宋_GB2312" w:hAnsi="仿宋_GB2312" w:eastAsia="仿宋_GB2312" w:cs="仿宋_GB2312"/>
                <w:color w:val="000000"/>
                <w:spacing w:val="0"/>
                <w:w w:val="100"/>
                <w:position w:val="0"/>
                <w:sz w:val="24"/>
                <w:szCs w:val="24"/>
              </w:rPr>
              <w:t xml:space="preserve">1 </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continue"/>
            <w:tcBorders>
              <w:left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240" w:firstLineChars="0"/>
              <w:jc w:val="both"/>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17</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设备基本信息台账</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299"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设备信息少一项扣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 总分</w:t>
            </w:r>
            <w:r>
              <w:rPr>
                <w:rFonts w:hint="eastAsia" w:ascii="仿宋_GB2312" w:hAnsi="仿宋_GB2312" w:eastAsia="仿宋_GB2312" w:cs="仿宋_GB2312"/>
                <w:color w:val="000000"/>
                <w:spacing w:val="0"/>
                <w:w w:val="100"/>
                <w:position w:val="0"/>
                <w:sz w:val="24"/>
                <w:szCs w:val="24"/>
              </w:rPr>
              <w:t>2</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continue"/>
            <w:tcBorders>
              <w:left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18</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17"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设立水量、水质记录台账，水泵、 风机等动力设备运行台账</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8"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未按规定填写运行主要信息，每少一处扣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3</w:t>
            </w:r>
            <w:r>
              <w:rPr>
                <w:rFonts w:hint="eastAsia" w:ascii="仿宋_GB2312" w:hAnsi="仿宋_GB2312" w:eastAsia="仿宋_GB2312" w:cs="仿宋_GB2312"/>
                <w:color w:val="000000"/>
                <w:spacing w:val="0"/>
                <w:w w:val="100"/>
                <w:position w:val="0"/>
                <w:sz w:val="22"/>
                <w:szCs w:val="22"/>
              </w:rPr>
              <w:t>分。</w:t>
            </w:r>
          </w:p>
        </w:tc>
      </w:tr>
      <w:tr>
        <w:tblPrEx>
          <w:tblCellMar>
            <w:top w:w="0" w:type="dxa"/>
            <w:left w:w="10" w:type="dxa"/>
            <w:bottom w:w="0" w:type="dxa"/>
            <w:right w:w="10" w:type="dxa"/>
          </w:tblCellMar>
        </w:tblPrEx>
        <w:trPr>
          <w:trHeight w:val="652" w:hRule="exact"/>
          <w:jc w:val="center"/>
        </w:trPr>
        <w:tc>
          <w:tcPr>
            <w:tcW w:w="1465" w:type="dxa"/>
            <w:vMerge w:val="continue"/>
            <w:tcBorders>
              <w:left w:val="single" w:color="auto" w:sz="4" w:space="0"/>
              <w:bottom w:val="single" w:color="auto" w:sz="4" w:space="0"/>
              <w:right w:val="single" w:color="auto" w:sz="4" w:space="0"/>
            </w:tcBorders>
            <w:shd w:val="clear" w:color="auto" w:fill="FFFFFF"/>
            <w:vAlign w:val="center"/>
          </w:tcPr>
          <w:p>
            <w:pPr>
              <w:jc w:val="center"/>
              <w:rPr>
                <w:rFonts w:hint="eastAsia" w:ascii="仿宋_GB2312" w:hAnsi="仿宋_GB2312" w:eastAsia="仿宋_GB2312" w:cs="仿宋_GB2312"/>
              </w:rPr>
            </w:pPr>
          </w:p>
        </w:tc>
        <w:tc>
          <w:tcPr>
            <w:tcW w:w="742"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240" w:lineRule="auto"/>
              <w:ind w:left="0" w:leftChars="0" w:right="0" w:rightChars="0" w:firstLine="0" w:firstLineChars="0"/>
              <w:jc w:val="center"/>
              <w:rPr>
                <w:rFonts w:hint="eastAsia" w:ascii="仿宋_GB2312" w:hAnsi="仿宋_GB2312" w:eastAsia="仿宋_GB2312" w:cs="仿宋_GB2312"/>
                <w:color w:val="000000"/>
                <w:spacing w:val="0"/>
                <w:w w:val="100"/>
                <w:position w:val="0"/>
                <w:sz w:val="24"/>
                <w:szCs w:val="24"/>
              </w:rPr>
            </w:pPr>
            <w:r>
              <w:rPr>
                <w:rFonts w:hint="eastAsia" w:ascii="仿宋_GB2312" w:hAnsi="仿宋_GB2312" w:eastAsia="仿宋_GB2312" w:cs="仿宋_GB2312"/>
                <w:color w:val="000000"/>
                <w:spacing w:val="0"/>
                <w:w w:val="100"/>
                <w:position w:val="0"/>
                <w:sz w:val="24"/>
                <w:szCs w:val="24"/>
              </w:rPr>
              <w:t>19</w:t>
            </w:r>
          </w:p>
        </w:tc>
        <w:tc>
          <w:tcPr>
            <w:tcW w:w="3445" w:type="dxa"/>
            <w:tcBorders>
              <w:top w:val="single" w:color="auto" w:sz="4" w:space="0"/>
              <w:left w:val="single" w:color="auto" w:sz="4" w:space="0"/>
              <w:bottom w:val="single" w:color="auto" w:sz="4" w:space="0"/>
            </w:tcBorders>
            <w:shd w:val="clear" w:color="auto" w:fill="FFFFFF"/>
            <w:vAlign w:val="center"/>
          </w:tcPr>
          <w:p>
            <w:pPr>
              <w:pStyle w:val="102"/>
              <w:keepNext w:val="0"/>
              <w:keepLines w:val="0"/>
              <w:widowControl w:val="0"/>
              <w:shd w:val="clear" w:color="auto" w:fill="auto"/>
              <w:bidi w:val="0"/>
              <w:spacing w:before="0" w:after="0" w:line="313"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设立维修（抢修）情况</w:t>
            </w:r>
            <w:r>
              <w:rPr>
                <w:rFonts w:hint="eastAsia" w:ascii="仿宋_GB2312" w:hAnsi="仿宋_GB2312" w:eastAsia="仿宋_GB2312" w:cs="仿宋_GB2312"/>
                <w:color w:val="000000"/>
                <w:spacing w:val="0"/>
                <w:w w:val="100"/>
                <w:position w:val="0"/>
                <w:sz w:val="22"/>
                <w:szCs w:val="22"/>
                <w:lang w:eastAsia="zh-CN"/>
              </w:rPr>
              <w:t>台账</w:t>
            </w:r>
            <w:r>
              <w:rPr>
                <w:rFonts w:hint="eastAsia" w:ascii="仿宋_GB2312" w:hAnsi="仿宋_GB2312" w:eastAsia="仿宋_GB2312" w:cs="仿宋_GB2312"/>
                <w:color w:val="000000"/>
                <w:spacing w:val="0"/>
                <w:w w:val="100"/>
                <w:position w:val="0"/>
                <w:sz w:val="22"/>
                <w:szCs w:val="22"/>
              </w:rPr>
              <w:t>，</w:t>
            </w:r>
            <w:r>
              <w:rPr>
                <w:rFonts w:hint="eastAsia" w:ascii="仿宋_GB2312" w:hAnsi="仿宋_GB2312" w:eastAsia="仿宋_GB2312" w:cs="仿宋_GB2312"/>
                <w:color w:val="000000"/>
                <w:spacing w:val="0"/>
                <w:w w:val="100"/>
                <w:position w:val="0"/>
                <w:sz w:val="22"/>
                <w:szCs w:val="22"/>
                <w:lang w:eastAsia="zh-CN"/>
              </w:rPr>
              <w:t>台账</w:t>
            </w:r>
            <w:r>
              <w:rPr>
                <w:rFonts w:hint="eastAsia" w:ascii="仿宋_GB2312" w:hAnsi="仿宋_GB2312" w:eastAsia="仿宋_GB2312" w:cs="仿宋_GB2312"/>
                <w:color w:val="000000"/>
                <w:spacing w:val="0"/>
                <w:w w:val="100"/>
                <w:position w:val="0"/>
                <w:sz w:val="22"/>
                <w:szCs w:val="22"/>
              </w:rPr>
              <w:t>包括日期、事由和经费</w:t>
            </w:r>
          </w:p>
        </w:tc>
        <w:tc>
          <w:tcPr>
            <w:tcW w:w="2912" w:type="dxa"/>
            <w:tcBorders>
              <w:top w:val="single" w:color="auto" w:sz="4" w:space="0"/>
              <w:left w:val="single" w:color="auto" w:sz="4" w:space="0"/>
              <w:bottom w:val="single" w:color="auto" w:sz="4" w:space="0"/>
              <w:right w:val="single" w:color="auto" w:sz="4" w:space="0"/>
            </w:tcBorders>
            <w:shd w:val="clear" w:color="auto" w:fill="FFFFFF"/>
            <w:vAlign w:val="center"/>
          </w:tcPr>
          <w:p>
            <w:pPr>
              <w:pStyle w:val="102"/>
              <w:keepNext w:val="0"/>
              <w:keepLines w:val="0"/>
              <w:widowControl w:val="0"/>
              <w:shd w:val="clear" w:color="auto" w:fill="auto"/>
              <w:bidi w:val="0"/>
              <w:spacing w:before="0" w:after="0" w:line="306" w:lineRule="exact"/>
              <w:ind w:left="0" w:leftChars="0" w:right="0" w:rightChars="0" w:firstLine="0" w:firstLineChars="0"/>
              <w:jc w:val="center"/>
              <w:rPr>
                <w:rFonts w:hint="eastAsia" w:ascii="仿宋_GB2312" w:hAnsi="仿宋_GB2312" w:eastAsia="仿宋_GB2312" w:cs="仿宋_GB2312"/>
                <w:color w:val="000000"/>
                <w:spacing w:val="0"/>
                <w:w w:val="100"/>
                <w:position w:val="0"/>
                <w:sz w:val="22"/>
                <w:szCs w:val="22"/>
              </w:rPr>
            </w:pPr>
            <w:r>
              <w:rPr>
                <w:rFonts w:hint="eastAsia" w:ascii="仿宋_GB2312" w:hAnsi="仿宋_GB2312" w:eastAsia="仿宋_GB2312" w:cs="仿宋_GB2312"/>
                <w:color w:val="000000"/>
                <w:spacing w:val="0"/>
                <w:w w:val="100"/>
                <w:position w:val="0"/>
                <w:sz w:val="22"/>
                <w:szCs w:val="22"/>
              </w:rPr>
              <w:t>维护记录信息不完整每处扣</w:t>
            </w:r>
            <w:r>
              <w:rPr>
                <w:rFonts w:hint="eastAsia" w:ascii="仿宋_GB2312" w:hAnsi="仿宋_GB2312" w:eastAsia="仿宋_GB2312" w:cs="仿宋_GB2312"/>
                <w:color w:val="000000"/>
                <w:spacing w:val="0"/>
                <w:w w:val="100"/>
                <w:position w:val="0"/>
                <w:sz w:val="24"/>
                <w:szCs w:val="24"/>
              </w:rPr>
              <w:t>1</w:t>
            </w:r>
            <w:r>
              <w:rPr>
                <w:rFonts w:hint="eastAsia" w:ascii="仿宋_GB2312" w:hAnsi="仿宋_GB2312" w:eastAsia="仿宋_GB2312" w:cs="仿宋_GB2312"/>
                <w:color w:val="000000"/>
                <w:spacing w:val="0"/>
                <w:w w:val="100"/>
                <w:position w:val="0"/>
                <w:sz w:val="22"/>
                <w:szCs w:val="22"/>
              </w:rPr>
              <w:t>分。总分</w:t>
            </w:r>
            <w:r>
              <w:rPr>
                <w:rFonts w:hint="eastAsia" w:ascii="仿宋_GB2312" w:hAnsi="仿宋_GB2312" w:eastAsia="仿宋_GB2312" w:cs="仿宋_GB2312"/>
                <w:color w:val="000000"/>
                <w:spacing w:val="0"/>
                <w:w w:val="100"/>
                <w:position w:val="0"/>
                <w:sz w:val="24"/>
                <w:szCs w:val="24"/>
              </w:rPr>
              <w:t>3</w:t>
            </w:r>
            <w:r>
              <w:rPr>
                <w:rFonts w:hint="eastAsia" w:ascii="仿宋_GB2312" w:hAnsi="仿宋_GB2312" w:eastAsia="仿宋_GB2312" w:cs="仿宋_GB2312"/>
                <w:color w:val="000000"/>
                <w:spacing w:val="0"/>
                <w:w w:val="100"/>
                <w:position w:val="0"/>
                <w:sz w:val="22"/>
                <w:szCs w:val="22"/>
              </w:rPr>
              <w:t>分。</w:t>
            </w:r>
          </w:p>
        </w:tc>
      </w:tr>
    </w:tbl>
    <w:p>
      <w:pPr>
        <w:spacing w:line="1" w:lineRule="exact"/>
        <w:rPr>
          <w:sz w:val="2"/>
          <w:szCs w:val="2"/>
        </w:rPr>
      </w:pPr>
      <w:r>
        <w:rPr>
          <w:rFonts w:hint="eastAsia" w:ascii="仿宋_GB2312" w:hAnsi="仿宋_GB2312" w:eastAsia="仿宋_GB2312" w:cs="仿宋_GB2312"/>
        </w:rPr>
        <w:br w:type="page"/>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以上评分标准，当期得分满分为100分，合作期内，项目实施机构主要通过常规考核和临时考核的方式对项目公司维护管养服务进行绩效考核。</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运营期考核系数β取值为：</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得分大于等于90分，当期绩效考核系数β为1.0；</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得分小于90分，当期绩效考核系数β=当期得分/100。</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293" w:name="_Toc10629"/>
      <w:r>
        <w:rPr>
          <w:rFonts w:hint="eastAsia" w:ascii="楷体_GB2312" w:hAnsi="楷体_GB2312" w:eastAsia="楷体_GB2312" w:cs="楷体_GB2312"/>
          <w:b w:val="0"/>
          <w:bCs w:val="0"/>
          <w:sz w:val="32"/>
          <w:szCs w:val="32"/>
          <w:highlight w:val="none"/>
          <w:lang w:val="en-US" w:eastAsia="zh-CN"/>
        </w:rPr>
        <w:t>（二）存在问题</w:t>
      </w:r>
      <w:bookmarkEnd w:id="293"/>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94" w:name="_Toc26266"/>
      <w:r>
        <w:rPr>
          <w:rFonts w:hint="eastAsia" w:ascii="仿宋_GB2312" w:hAnsi="仿宋_GB2312" w:eastAsia="仿宋_GB2312" w:cs="仿宋_GB2312"/>
          <w:sz w:val="32"/>
          <w:szCs w:val="32"/>
          <w:highlight w:val="none"/>
          <w:lang w:val="en-US" w:eastAsia="zh-CN"/>
        </w:rPr>
        <w:t>1.管网维护有待进一步加强</w:t>
      </w:r>
      <w:bookmarkEnd w:id="294"/>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城区58座设施中有56座设施由第三方单位进行运维管理，设施整体运行情况良好，但现场调研发现对于污水管网的运维存在不足之处，部分已建主管进行末端截污的自然村存在漏截的情况，部分已建接户管的自然村存在错接漏接的现象，另有部分检查井无法打开。对于污水管网的维护有待进一步加强。</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lang w:val="en-US" w:eastAsia="zh-CN"/>
        </w:rPr>
        <w:t>2.村民环保意识需进一步强化</w:t>
      </w:r>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根据污水管网运维管理责任分工，区住建局签订的运维管理合同仅负责设施及污水主管网运维，由区农业农村和水利局牵头的雨污分流管网建设项目后续由村镇自行运维，而镇村工作人员的业务技术能力有待进一步提高，另有不少建设雨污分流管网的自然村，村民将厨房洗菜等用水直接倒入雨水渠内，造成村内沟渠水质恶化，村民环保意识有待进一步加强。</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295" w:name="_Toc17596"/>
      <w:r>
        <w:rPr>
          <w:rFonts w:hint="eastAsia" w:ascii="仿宋_GB2312" w:hAnsi="仿宋_GB2312" w:eastAsia="仿宋_GB2312" w:cs="仿宋_GB2312"/>
          <w:sz w:val="32"/>
          <w:szCs w:val="32"/>
          <w:highlight w:val="none"/>
          <w:lang w:val="en-US" w:eastAsia="zh-CN"/>
        </w:rPr>
        <w:t>3.监督考核制度需进一步完善</w:t>
      </w:r>
      <w:bookmarkEnd w:id="295"/>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highlight w:val="none"/>
          <w:lang w:val="en-US" w:eastAsia="zh-CN"/>
        </w:rPr>
        <w:t>城区目前的运维管理体系较为完善，但现场调研发现，目前的考核体系缺乏镇街的参与，镇街工作人员对其属地的污水处理设施运行现状等情况了解较少，后续进一步完善监督考核制度，镇街定期组织所属区域的村和运维公司对污水处理设施进行考核。</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296" w:name="_Toc18530"/>
      <w:r>
        <w:rPr>
          <w:rFonts w:hint="eastAsia" w:ascii="楷体_GB2312" w:hAnsi="楷体_GB2312" w:eastAsia="楷体_GB2312" w:cs="楷体_GB2312"/>
          <w:b w:val="0"/>
          <w:bCs w:val="0"/>
          <w:sz w:val="32"/>
          <w:szCs w:val="32"/>
          <w:highlight w:val="none"/>
          <w:lang w:val="en-US" w:eastAsia="zh-CN"/>
        </w:rPr>
        <w:t>（三）</w:t>
      </w:r>
      <w:r>
        <w:rPr>
          <w:rFonts w:hint="eastAsia" w:ascii="楷体_GB2312" w:hAnsi="楷体_GB2312" w:eastAsia="楷体_GB2312" w:cs="楷体_GB2312"/>
          <w:b w:val="0"/>
          <w:bCs w:val="0"/>
          <w:sz w:val="32"/>
          <w:szCs w:val="32"/>
          <w:highlight w:val="none"/>
        </w:rPr>
        <w:t>运维管理</w:t>
      </w:r>
      <w:r>
        <w:rPr>
          <w:rFonts w:hint="eastAsia" w:ascii="楷体_GB2312" w:hAnsi="楷体_GB2312" w:eastAsia="楷体_GB2312" w:cs="楷体_GB2312"/>
          <w:b w:val="0"/>
          <w:bCs w:val="0"/>
          <w:sz w:val="32"/>
          <w:szCs w:val="32"/>
          <w:highlight w:val="none"/>
          <w:lang w:val="en-US" w:eastAsia="zh-CN"/>
        </w:rPr>
        <w:t>规划</w:t>
      </w:r>
      <w:bookmarkEnd w:id="296"/>
    </w:p>
    <w:p>
      <w:pPr>
        <w:pageBreakBefore w:val="0"/>
        <w:kinsoku/>
        <w:wordWrap/>
        <w:overflowPunct/>
        <w:topLinePunct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shd w:val="clear" w:color="auto" w:fill="FFFFFF"/>
          <w:lang w:val="en-US" w:eastAsia="zh-CN"/>
        </w:rPr>
      </w:pPr>
      <w:r>
        <w:rPr>
          <w:rFonts w:hint="eastAsia" w:ascii="仿宋_GB2312" w:hAnsi="仿宋_GB2312" w:eastAsia="仿宋_GB2312" w:cs="仿宋_GB2312"/>
          <w:sz w:val="32"/>
          <w:szCs w:val="32"/>
          <w:highlight w:val="none"/>
          <w:shd w:val="clear" w:color="auto" w:fill="FFFFFF"/>
          <w:lang w:val="en-US" w:eastAsia="zh-CN"/>
        </w:rPr>
        <w:t>结合城区已建污水处理设施的运维管理现状及相关制度文件，城区农村生活污水处理设施运维管理主要需要建立定期培训制度、加强教育宣传力度、完善运维管理考核制度体系以及推进</w:t>
      </w:r>
      <w:r>
        <w:rPr>
          <w:rFonts w:hint="eastAsia" w:ascii="仿宋_GB2312" w:hAnsi="仿宋_GB2312" w:eastAsia="仿宋_GB2312" w:cs="仿宋_GB2312"/>
          <w:sz w:val="32"/>
          <w:szCs w:val="32"/>
          <w:highlight w:val="none"/>
        </w:rPr>
        <w:t>运维管理平台和信息系统的建设和管理</w:t>
      </w:r>
      <w:r>
        <w:rPr>
          <w:rFonts w:hint="eastAsia" w:ascii="仿宋_GB2312" w:hAnsi="仿宋_GB2312" w:eastAsia="仿宋_GB2312" w:cs="仿宋_GB2312"/>
          <w:sz w:val="32"/>
          <w:szCs w:val="32"/>
          <w:highlight w:val="none"/>
          <w:shd w:val="clear" w:color="auto" w:fill="FFFFFF"/>
          <w:lang w:val="en-US" w:eastAsia="zh-CN"/>
        </w:rPr>
        <w:t>。</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rPr>
      </w:pPr>
      <w:r>
        <w:rPr>
          <w:rFonts w:hint="eastAsia" w:ascii="仿宋_GB2312" w:hAnsi="仿宋_GB2312" w:eastAsia="仿宋_GB2312" w:cs="仿宋_GB2312"/>
          <w:sz w:val="32"/>
          <w:szCs w:val="32"/>
          <w:highlight w:val="none"/>
          <w:lang w:val="en-US" w:eastAsia="zh-CN"/>
        </w:rPr>
        <w:t>1.加强镇村工作人员业务能力培训</w:t>
      </w:r>
    </w:p>
    <w:p>
      <w:pPr>
        <w:keepNext w:val="0"/>
        <w:keepLines w:val="0"/>
        <w:pageBreakBefore w:val="0"/>
        <w:widowControl/>
        <w:suppressLineNumbers w:val="0"/>
        <w:kinsoku/>
        <w:wordWrap/>
        <w:overflowPunct/>
        <w:topLinePunct w:val="0"/>
        <w:bidi w:val="0"/>
        <w:snapToGrid/>
        <w:spacing w:line="520" w:lineRule="exact"/>
        <w:ind w:firstLine="640" w:firstLineChars="200"/>
        <w:jc w:val="left"/>
        <w:textAlignment w:val="auto"/>
        <w:rPr>
          <w:rFonts w:hint="eastAsia" w:ascii="仿宋_GB2312" w:hAnsi="仿宋_GB2312" w:eastAsia="仿宋_GB2312" w:cs="仿宋_GB2312"/>
          <w:color w:val="000000"/>
          <w:kern w:val="0"/>
          <w:sz w:val="32"/>
          <w:szCs w:val="32"/>
          <w:lang w:val="en-US" w:eastAsia="zh-CN" w:bidi="ar"/>
        </w:rPr>
      </w:pPr>
      <w:r>
        <w:rPr>
          <w:rFonts w:hint="eastAsia" w:ascii="仿宋_GB2312" w:hAnsi="仿宋_GB2312" w:eastAsia="仿宋_GB2312" w:cs="仿宋_GB2312"/>
          <w:color w:val="000000"/>
          <w:kern w:val="0"/>
          <w:sz w:val="32"/>
          <w:szCs w:val="32"/>
          <w:lang w:val="en-US" w:eastAsia="zh-CN" w:bidi="ar"/>
        </w:rPr>
        <w:t>定期组织镇街、村负责雨污分流管网运维的人员业务技术培训，提高管网运维水平。目前管网运维由街道、村两级管理，各街道办事处要落实一支专业运维团队，建立管网运维管理制度，重点做好管网、检查井、厨房清扫井等的维护管理，确保雨污分流管网运行正常。</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lang w:val="en-US"/>
        </w:rPr>
      </w:pPr>
      <w:r>
        <w:rPr>
          <w:rFonts w:hint="eastAsia" w:ascii="仿宋_GB2312" w:hAnsi="仿宋_GB2312" w:eastAsia="仿宋_GB2312" w:cs="仿宋_GB2312"/>
          <w:sz w:val="32"/>
          <w:szCs w:val="32"/>
          <w:highlight w:val="none"/>
          <w:lang w:val="en-US" w:eastAsia="zh-CN"/>
        </w:rPr>
        <w:t>2.加强教育宣传力度</w:t>
      </w:r>
    </w:p>
    <w:p>
      <w:pPr>
        <w:keepNext w:val="0"/>
        <w:keepLines w:val="0"/>
        <w:pageBreakBefore w:val="0"/>
        <w:widowControl/>
        <w:suppressLineNumbers w:val="0"/>
        <w:kinsoku/>
        <w:wordWrap/>
        <w:overflowPunct/>
        <w:topLinePunct w:val="0"/>
        <w:bidi w:val="0"/>
        <w:snapToGrid/>
        <w:spacing w:line="520" w:lineRule="exact"/>
        <w:ind w:firstLine="640" w:firstLineChars="200"/>
        <w:jc w:val="left"/>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000000"/>
          <w:kern w:val="0"/>
          <w:sz w:val="32"/>
          <w:szCs w:val="32"/>
          <w:lang w:val="en-US" w:eastAsia="zh-CN" w:bidi="ar"/>
        </w:rPr>
        <w:t>通过对村民的环保知识和法律法规的宣传引导教育，增强广大农民群众的环保意识，提高公众参与度。以教育宣传的形式，让村民树立强烈的环境意识，调动村民参与农村生活污水治理的积极性和主动性，提高村民的主人翁意识。避免出现私拉电线，私自侵占处理设施场地，污水直排雨水渠等现象。</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297" w:name="_Toc2239"/>
      <w:r>
        <w:rPr>
          <w:rFonts w:hint="eastAsia" w:ascii="仿宋_GB2312" w:hAnsi="仿宋_GB2312" w:eastAsia="仿宋_GB2312" w:cs="仿宋_GB2312"/>
          <w:sz w:val="32"/>
          <w:szCs w:val="32"/>
          <w:highlight w:val="none"/>
          <w:lang w:val="en-US" w:eastAsia="zh-CN"/>
        </w:rPr>
        <w:t>3.完善运维管理监督考核制度</w:t>
      </w:r>
      <w:bookmarkEnd w:id="297"/>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维护管理工作实行考核制，其考核结果与运维费用支付挂钩。考核采取定期、不定期及监督考核三种方式。</w:t>
      </w:r>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rPr>
        <w:t>（1）定期考核：</w:t>
      </w:r>
      <w:r>
        <w:rPr>
          <w:rFonts w:hint="eastAsia" w:ascii="仿宋_GB2312" w:hAnsi="仿宋_GB2312" w:eastAsia="仿宋_GB2312" w:cs="仿宋_GB2312"/>
          <w:sz w:val="32"/>
          <w:szCs w:val="32"/>
          <w:highlight w:val="none"/>
          <w:lang w:val="en-US" w:eastAsia="zh-CN"/>
        </w:rPr>
        <w:t>镇街</w:t>
      </w:r>
      <w:r>
        <w:rPr>
          <w:rFonts w:hint="eastAsia" w:ascii="仿宋_GB2312" w:hAnsi="仿宋_GB2312" w:eastAsia="仿宋_GB2312" w:cs="仿宋_GB2312"/>
          <w:sz w:val="32"/>
          <w:szCs w:val="32"/>
          <w:highlight w:val="none"/>
        </w:rPr>
        <w:t>每月组织对所属区域内的村（社区）、运维公司治理设施运行维护情况的检查考核。</w:t>
      </w:r>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rPr>
        <w:t>（2）不定期考核：</w:t>
      </w:r>
      <w:r>
        <w:rPr>
          <w:rFonts w:hint="eastAsia" w:ascii="仿宋_GB2312" w:hAnsi="仿宋_GB2312" w:eastAsia="仿宋_GB2312" w:cs="仿宋_GB2312"/>
          <w:sz w:val="32"/>
          <w:szCs w:val="32"/>
          <w:highlight w:val="none"/>
        </w:rPr>
        <w:t>由行业主管部门牵头、</w:t>
      </w:r>
      <w:r>
        <w:rPr>
          <w:rFonts w:hint="eastAsia" w:ascii="仿宋_GB2312" w:hAnsi="仿宋_GB2312" w:eastAsia="仿宋_GB2312" w:cs="仿宋_GB2312"/>
          <w:sz w:val="32"/>
          <w:szCs w:val="32"/>
          <w:highlight w:val="none"/>
          <w:lang w:eastAsia="zh-CN"/>
        </w:rPr>
        <w:t>区</w:t>
      </w:r>
      <w:r>
        <w:rPr>
          <w:rFonts w:hint="eastAsia" w:ascii="仿宋_GB2312" w:hAnsi="仿宋_GB2312" w:eastAsia="仿宋_GB2312" w:cs="仿宋_GB2312"/>
          <w:sz w:val="32"/>
          <w:szCs w:val="32"/>
          <w:highlight w:val="none"/>
        </w:rPr>
        <w:t>级相关单位共同参与，根据实际需要对乡镇（街道）、村（社区）及运维公司的运行维护管理情况进行检查、考核，原则上全年不少于4次。</w:t>
      </w:r>
    </w:p>
    <w:p>
      <w:pPr>
        <w:pageBreakBefore w:val="0"/>
        <w:kinsoku/>
        <w:wordWrap/>
        <w:overflowPunct/>
        <w:topLinePunct w:val="0"/>
        <w:autoSpaceDE w:val="0"/>
        <w:autoSpaceDN w:val="0"/>
        <w:bidi w:val="0"/>
        <w:adjustRightInd w:val="0"/>
        <w:snapToGrid/>
        <w:spacing w:line="520" w:lineRule="exact"/>
        <w:ind w:firstLine="643"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b/>
          <w:bCs/>
          <w:sz w:val="32"/>
          <w:szCs w:val="32"/>
          <w:highlight w:val="none"/>
        </w:rPr>
        <w:t>（3）监督考核：</w:t>
      </w:r>
      <w:r>
        <w:rPr>
          <w:rFonts w:hint="eastAsia" w:ascii="仿宋_GB2312" w:hAnsi="仿宋_GB2312" w:eastAsia="仿宋_GB2312" w:cs="仿宋_GB2312"/>
          <w:sz w:val="32"/>
          <w:szCs w:val="32"/>
          <w:highlight w:val="none"/>
        </w:rPr>
        <w:t>行业主管部门牵头、组织相关单位对全</w:t>
      </w:r>
      <w:r>
        <w:rPr>
          <w:rFonts w:hint="eastAsia" w:ascii="仿宋_GB2312" w:hAnsi="仿宋_GB2312" w:eastAsia="仿宋_GB2312" w:cs="仿宋_GB2312"/>
          <w:sz w:val="32"/>
          <w:szCs w:val="32"/>
          <w:highlight w:val="none"/>
          <w:lang w:eastAsia="zh-CN"/>
        </w:rPr>
        <w:t>区</w:t>
      </w:r>
      <w:r>
        <w:rPr>
          <w:rFonts w:hint="eastAsia" w:ascii="仿宋_GB2312" w:hAnsi="仿宋_GB2312" w:eastAsia="仿宋_GB2312" w:cs="仿宋_GB2312"/>
          <w:sz w:val="32"/>
          <w:szCs w:val="32"/>
          <w:highlight w:val="none"/>
        </w:rPr>
        <w:t>各</w:t>
      </w:r>
      <w:r>
        <w:rPr>
          <w:rFonts w:hint="eastAsia" w:ascii="仿宋_GB2312" w:hAnsi="仿宋_GB2312" w:eastAsia="仿宋_GB2312" w:cs="仿宋_GB2312"/>
          <w:sz w:val="32"/>
          <w:szCs w:val="32"/>
          <w:highlight w:val="none"/>
          <w:lang w:val="en-US" w:eastAsia="zh-CN"/>
        </w:rPr>
        <w:t>镇街</w:t>
      </w:r>
      <w:r>
        <w:rPr>
          <w:rFonts w:hint="eastAsia" w:ascii="仿宋_GB2312" w:hAnsi="仿宋_GB2312" w:eastAsia="仿宋_GB2312" w:cs="仿宋_GB2312"/>
          <w:sz w:val="32"/>
          <w:szCs w:val="32"/>
          <w:highlight w:val="none"/>
        </w:rPr>
        <w:t>、村（社区）及运维公司的运行维护管理情况进行检查、考核、监督。考核内容包括水质考核指标、各类检查井（池）、调节池、厌氧池、好氧池、人工湿地等设施运行参数、日常维护及资金使用情况、吨水运行成本、农户受益情况、污水收集管网。</w:t>
      </w:r>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执行以上考核方式的同时，综合各方面的因素和实际情况，还应考虑早期污水处理设施建造标准、规模、处理工艺等不合理建设工程所引起设施运行不达标的情况，做到全面有效考核。</w:t>
      </w:r>
    </w:p>
    <w:p>
      <w:pPr>
        <w:pStyle w:val="6"/>
        <w:pageBreakBefore w:val="0"/>
        <w:kinsoku/>
        <w:wordWrap/>
        <w:overflowPunct/>
        <w:topLinePunct w:val="0"/>
        <w:bidi w:val="0"/>
        <w:snapToGrid/>
        <w:spacing w:before="0" w:after="0" w:line="520" w:lineRule="exact"/>
        <w:ind w:firstLine="643" w:firstLineChars="200"/>
        <w:textAlignment w:val="auto"/>
        <w:rPr>
          <w:rFonts w:hint="eastAsia" w:ascii="仿宋_GB2312" w:hAnsi="仿宋_GB2312" w:eastAsia="仿宋_GB2312" w:cs="仿宋_GB2312"/>
          <w:sz w:val="32"/>
          <w:szCs w:val="32"/>
          <w:highlight w:val="none"/>
        </w:rPr>
      </w:pPr>
      <w:bookmarkStart w:id="298" w:name="_Toc425"/>
      <w:bookmarkStart w:id="299" w:name="_Toc13672"/>
      <w:bookmarkStart w:id="300" w:name="_Toc18527"/>
      <w:bookmarkStart w:id="301" w:name="_Toc19904"/>
      <w:bookmarkStart w:id="302" w:name="_Toc21461"/>
      <w:bookmarkStart w:id="303" w:name="_Toc30191"/>
      <w:r>
        <w:rPr>
          <w:rFonts w:hint="eastAsia" w:ascii="仿宋_GB2312" w:hAnsi="仿宋_GB2312" w:eastAsia="仿宋_GB2312" w:cs="仿宋_GB2312"/>
          <w:sz w:val="32"/>
          <w:szCs w:val="32"/>
          <w:highlight w:val="none"/>
          <w:lang w:val="en-US" w:eastAsia="zh-CN"/>
        </w:rPr>
        <w:t>4.</w:t>
      </w:r>
      <w:r>
        <w:rPr>
          <w:rFonts w:hint="eastAsia" w:ascii="仿宋_GB2312" w:hAnsi="仿宋_GB2312" w:eastAsia="仿宋_GB2312" w:cs="仿宋_GB2312"/>
          <w:sz w:val="32"/>
          <w:szCs w:val="32"/>
          <w:highlight w:val="none"/>
        </w:rPr>
        <w:t>推进运维管理平台和信息系统的建设和管理</w:t>
      </w:r>
      <w:bookmarkEnd w:id="298"/>
      <w:bookmarkEnd w:id="299"/>
      <w:bookmarkEnd w:id="300"/>
      <w:bookmarkEnd w:id="301"/>
      <w:bookmarkEnd w:id="302"/>
      <w:bookmarkEnd w:id="303"/>
    </w:p>
    <w:p>
      <w:pPr>
        <w:pageBreakBefore w:val="0"/>
        <w:kinsoku/>
        <w:wordWrap/>
        <w:overflowPunct/>
        <w:topLinePunct w:val="0"/>
        <w:bidi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eastAsia="zh-CN"/>
        </w:rPr>
        <w:t>城区</w:t>
      </w:r>
      <w:r>
        <w:rPr>
          <w:rFonts w:hint="eastAsia" w:ascii="仿宋_GB2312" w:hAnsi="仿宋_GB2312" w:eastAsia="仿宋_GB2312" w:cs="仿宋_GB2312"/>
          <w:sz w:val="32"/>
          <w:szCs w:val="32"/>
          <w:highlight w:val="none"/>
        </w:rPr>
        <w:t>农村生活污水处理设施点多面广，管理需每天掌握污水处理设施终端运行状态，如</w:t>
      </w:r>
      <w:r>
        <w:rPr>
          <w:rFonts w:hint="eastAsia" w:ascii="仿宋_GB2312" w:hAnsi="仿宋_GB2312" w:eastAsia="仿宋_GB2312" w:cs="仿宋_GB2312"/>
          <w:sz w:val="32"/>
          <w:szCs w:val="32"/>
          <w:highlight w:val="none"/>
          <w:lang w:val="en-US" w:eastAsia="zh-CN"/>
        </w:rPr>
        <w:t>实时</w:t>
      </w:r>
      <w:r>
        <w:rPr>
          <w:rFonts w:hint="eastAsia" w:ascii="仿宋_GB2312" w:hAnsi="仿宋_GB2312" w:eastAsia="仿宋_GB2312" w:cs="仿宋_GB2312"/>
          <w:sz w:val="32"/>
          <w:szCs w:val="32"/>
          <w:highlight w:val="none"/>
        </w:rPr>
        <w:t>水量、水质数据等。应强化技术支撑，加大农村生活污水处理技术研发和集约化处理设施推广应用。</w:t>
      </w:r>
      <w:r>
        <w:rPr>
          <w:rFonts w:hint="eastAsia" w:ascii="仿宋_GB2312" w:hAnsi="仿宋_GB2312" w:eastAsia="仿宋_GB2312" w:cs="仿宋_GB2312"/>
          <w:sz w:val="32"/>
          <w:szCs w:val="32"/>
          <w:highlight w:val="none"/>
          <w:lang w:val="en-US" w:eastAsia="zh-CN"/>
        </w:rPr>
        <w:t>加快探索</w:t>
      </w:r>
      <w:r>
        <w:rPr>
          <w:rFonts w:hint="eastAsia" w:ascii="仿宋_GB2312" w:hAnsi="仿宋_GB2312" w:eastAsia="仿宋_GB2312" w:cs="仿宋_GB2312"/>
          <w:sz w:val="32"/>
          <w:szCs w:val="32"/>
          <w:highlight w:val="none"/>
        </w:rPr>
        <w:t>建立数字化服务网络系统和</w:t>
      </w:r>
      <w:r>
        <w:rPr>
          <w:rFonts w:hint="eastAsia" w:ascii="仿宋_GB2312" w:hAnsi="仿宋_GB2312" w:eastAsia="仿宋_GB2312" w:cs="仿宋_GB2312"/>
          <w:sz w:val="32"/>
          <w:szCs w:val="32"/>
          <w:highlight w:val="none"/>
          <w:lang w:eastAsia="zh-CN"/>
        </w:rPr>
        <w:t>区－</w:t>
      </w:r>
      <w:r>
        <w:rPr>
          <w:rFonts w:hint="eastAsia" w:ascii="仿宋_GB2312" w:hAnsi="仿宋_GB2312" w:eastAsia="仿宋_GB2312" w:cs="仿宋_GB2312"/>
          <w:sz w:val="32"/>
          <w:szCs w:val="32"/>
          <w:highlight w:val="none"/>
        </w:rPr>
        <w:t>乡三级一体化管理平台，综合运用互联网、物联网等技术，实现数据整合，远程监管，信息</w:t>
      </w:r>
      <w:r>
        <w:rPr>
          <w:rFonts w:hint="eastAsia" w:ascii="仿宋_GB2312" w:hAnsi="仿宋_GB2312" w:eastAsia="仿宋_GB2312" w:cs="仿宋_GB2312"/>
          <w:sz w:val="32"/>
          <w:szCs w:val="32"/>
          <w:highlight w:val="none"/>
          <w:lang w:val="en-US" w:eastAsia="zh-CN"/>
        </w:rPr>
        <w:t>实时</w:t>
      </w:r>
      <w:r>
        <w:rPr>
          <w:rFonts w:hint="eastAsia" w:ascii="仿宋_GB2312" w:hAnsi="仿宋_GB2312" w:eastAsia="仿宋_GB2312" w:cs="仿宋_GB2312"/>
          <w:sz w:val="32"/>
          <w:szCs w:val="32"/>
          <w:highlight w:val="none"/>
        </w:rPr>
        <w:t>传达，降低维护人员成本。积极推进农村生活污水运维管理的规范化、法制化、智能化，切实强化责任，落实各项保障，做到</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设施硬件达标</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出水水质达标</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和</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日常运维达标</w:t>
      </w:r>
      <w:r>
        <w:rPr>
          <w:rFonts w:hint="eastAsia" w:ascii="仿宋_GB2312" w:hAnsi="仿宋_GB2312" w:eastAsia="仿宋_GB2312" w:cs="仿宋_GB2312"/>
          <w:sz w:val="32"/>
          <w:szCs w:val="32"/>
          <w:highlight w:val="none"/>
          <w:lang w:val="en-US" w:eastAsia="zh-CN"/>
        </w:rPr>
        <w:t>”</w:t>
      </w:r>
      <w:r>
        <w:rPr>
          <w:rFonts w:hint="eastAsia" w:ascii="仿宋_GB2312" w:hAnsi="仿宋_GB2312" w:eastAsia="仿宋_GB2312" w:cs="仿宋_GB2312"/>
          <w:sz w:val="32"/>
          <w:szCs w:val="32"/>
          <w:highlight w:val="none"/>
        </w:rPr>
        <w:t>，以点带面提升全</w:t>
      </w:r>
      <w:r>
        <w:rPr>
          <w:rFonts w:hint="eastAsia" w:ascii="仿宋_GB2312" w:hAnsi="仿宋_GB2312" w:eastAsia="仿宋_GB2312" w:cs="仿宋_GB2312"/>
          <w:sz w:val="32"/>
          <w:szCs w:val="32"/>
          <w:highlight w:val="none"/>
          <w:lang w:eastAsia="zh-CN"/>
        </w:rPr>
        <w:t>区</w:t>
      </w:r>
      <w:r>
        <w:rPr>
          <w:rFonts w:hint="eastAsia" w:ascii="仿宋_GB2312" w:hAnsi="仿宋_GB2312" w:eastAsia="仿宋_GB2312" w:cs="仿宋_GB2312"/>
          <w:sz w:val="32"/>
          <w:szCs w:val="32"/>
          <w:highlight w:val="none"/>
        </w:rPr>
        <w:t>农村生活污水治理设施标准化运维管理水平。</w:t>
      </w:r>
    </w:p>
    <w:bookmarkEnd w:id="275"/>
    <w:bookmarkEnd w:id="276"/>
    <w:p>
      <w:pPr>
        <w:pStyle w:val="4"/>
        <w:keepNext/>
        <w:keepLines/>
        <w:pageBreakBefore w:val="0"/>
        <w:widowControl w:val="0"/>
        <w:kinsoku/>
        <w:wordWrap/>
        <w:overflowPunct/>
        <w:topLinePunct w:val="0"/>
        <w:autoSpaceDE/>
        <w:autoSpaceDN/>
        <w:bidi w:val="0"/>
        <w:adjustRightInd/>
        <w:snapToGrid/>
        <w:spacing w:before="0" w:after="0" w:line="520" w:lineRule="exact"/>
        <w:ind w:firstLine="643" w:firstLineChars="200"/>
        <w:textAlignment w:val="auto"/>
        <w:rPr>
          <w:rFonts w:hint="eastAsia" w:ascii="仿宋_GB2312" w:hAnsi="仿宋_GB2312" w:eastAsia="仿宋_GB2312" w:cs="仿宋_GB2312"/>
          <w:sz w:val="32"/>
          <w:szCs w:val="32"/>
          <w:highlight w:val="none"/>
          <w:lang w:val="en-US" w:eastAsia="zh-CN"/>
        </w:rPr>
      </w:pPr>
      <w:bookmarkStart w:id="304" w:name="_Toc14112"/>
      <w:bookmarkStart w:id="305" w:name="_Toc23052"/>
      <w:bookmarkStart w:id="306" w:name="_Toc5065"/>
      <w:bookmarkStart w:id="307" w:name="_Toc24246"/>
      <w:r>
        <w:rPr>
          <w:rFonts w:hint="eastAsia" w:ascii="仿宋_GB2312" w:hAnsi="仿宋_GB2312" w:eastAsia="仿宋_GB2312" w:cs="仿宋_GB2312"/>
          <w:sz w:val="32"/>
          <w:szCs w:val="32"/>
          <w:highlight w:val="none"/>
          <w:lang w:val="en-US" w:eastAsia="zh-CN"/>
        </w:rPr>
        <w:t>六、保障措施</w:t>
      </w:r>
      <w:bookmarkEnd w:id="304"/>
      <w:bookmarkEnd w:id="305"/>
      <w:bookmarkEnd w:id="306"/>
      <w:bookmarkEnd w:id="307"/>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bookmarkStart w:id="308" w:name="_Toc492562634"/>
      <w:r>
        <w:rPr>
          <w:rFonts w:hint="eastAsia" w:ascii="仿宋_GB2312" w:hAnsi="仿宋_GB2312" w:eastAsia="仿宋_GB2312" w:cs="仿宋_GB2312"/>
          <w:sz w:val="32"/>
          <w:szCs w:val="32"/>
          <w:highlight w:val="none"/>
        </w:rPr>
        <w:t>农村生活污水处理是一项涉及面广、工作量大的系统工程，也是一项社会效益和生态效益十分显著的民心工程，需要政府的积极引导、大力推动，更需要农民的积极参与和自觉行动。各地、各部门务必要统一思想，提高认识，加大工作力度。</w:t>
      </w:r>
    </w:p>
    <w:bookmarkEnd w:id="308"/>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09" w:name="_Toc30350"/>
      <w:bookmarkStart w:id="310" w:name="_Toc30259"/>
      <w:bookmarkStart w:id="311" w:name="_Toc1192"/>
      <w:bookmarkStart w:id="312" w:name="_Toc26641"/>
      <w:r>
        <w:rPr>
          <w:rFonts w:hint="eastAsia" w:ascii="楷体_GB2312" w:hAnsi="楷体_GB2312" w:eastAsia="楷体_GB2312" w:cs="楷体_GB2312"/>
          <w:b w:val="0"/>
          <w:bCs w:val="0"/>
          <w:sz w:val="32"/>
          <w:szCs w:val="32"/>
          <w:highlight w:val="none"/>
          <w:lang w:val="en-US" w:eastAsia="zh-CN"/>
        </w:rPr>
        <w:t>（一）强化组织领导</w:t>
      </w:r>
      <w:bookmarkEnd w:id="309"/>
      <w:bookmarkEnd w:id="310"/>
      <w:bookmarkEnd w:id="311"/>
      <w:bookmarkEnd w:id="312"/>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农村生活污水治理工作是一项涉及多个单位的综合性工作。为加强对农村生活污水治理工作的组织领导力度，首先应建立健全农村生活污水治理组织领导机构，明确主管部门，明确分管领导、具体责任部门和专职人员。</w:t>
      </w:r>
      <w:r>
        <w:rPr>
          <w:rFonts w:hint="eastAsia" w:ascii="仿宋_GB2312" w:hAnsi="仿宋_GB2312" w:eastAsia="仿宋_GB2312" w:cs="仿宋_GB2312"/>
          <w:sz w:val="32"/>
          <w:szCs w:val="32"/>
          <w:highlight w:val="none"/>
          <w:lang w:val="en-US" w:eastAsia="zh-CN"/>
        </w:rPr>
        <w:t>城区</w:t>
      </w:r>
      <w:r>
        <w:rPr>
          <w:rFonts w:hint="eastAsia" w:ascii="仿宋_GB2312" w:hAnsi="仿宋_GB2312" w:eastAsia="仿宋_GB2312" w:cs="仿宋_GB2312"/>
          <w:sz w:val="32"/>
          <w:szCs w:val="32"/>
          <w:highlight w:val="none"/>
        </w:rPr>
        <w:t>党委、政府要履行好农村生活污水治理主体责任，强化辖区内农村生活污水处理设施规划、建设改造和运行维护的监督管理。进一步压实乡镇实施责任，</w:t>
      </w:r>
      <w:r>
        <w:rPr>
          <w:rFonts w:hint="eastAsia" w:ascii="仿宋_GB2312" w:hAnsi="仿宋_GB2312" w:eastAsia="仿宋_GB2312" w:cs="仿宋_GB2312"/>
          <w:sz w:val="32"/>
          <w:szCs w:val="32"/>
          <w:highlight w:val="none"/>
          <w:lang w:val="en-US" w:eastAsia="zh-CN"/>
        </w:rPr>
        <w:t>联合企业</w:t>
      </w:r>
      <w:r>
        <w:rPr>
          <w:rFonts w:hint="eastAsia" w:ascii="仿宋_GB2312" w:hAnsi="仿宋_GB2312" w:eastAsia="仿宋_GB2312" w:cs="仿宋_GB2312"/>
          <w:sz w:val="32"/>
          <w:szCs w:val="32"/>
          <w:highlight w:val="none"/>
        </w:rPr>
        <w:t>做好污水处理设施的建设改造和日常管理工作。村（居）委会纳入农村生活污水治理工程建设、运维管理决策领导小组，充分发挥基层党组织战斗堡垒作用，发挥乡贤、党员先锋模范作用，切实做好项目组织实施、群众发动等工作，协助解决项目推进中存在的实际问题。将村级河长湖长作为农村河湖管护的直接负责人，履行</w:t>
      </w:r>
      <w:r>
        <w:rPr>
          <w:rFonts w:hint="eastAsia" w:ascii="仿宋_GB2312" w:hAnsi="仿宋_GB2312" w:eastAsia="仿宋_GB2312" w:cs="仿宋_GB2312"/>
          <w:sz w:val="32"/>
          <w:szCs w:val="32"/>
          <w:highlight w:val="none"/>
          <w:lang w:val="en-US" w:eastAsia="zh-CN"/>
        </w:rPr>
        <w:t>涉及河湖的</w:t>
      </w:r>
      <w:r>
        <w:rPr>
          <w:rFonts w:hint="eastAsia" w:ascii="仿宋_GB2312" w:hAnsi="仿宋_GB2312" w:eastAsia="仿宋_GB2312" w:cs="仿宋_GB2312"/>
          <w:sz w:val="32"/>
          <w:szCs w:val="32"/>
          <w:highlight w:val="none"/>
        </w:rPr>
        <w:t>农村污水治理设施的管理巡查职责。将农村生活污水治理日常监督管理工作纳入村规民约，逐步规范村民生活排水行为，鼓励村民积极参与生活污水处理设施建设与维护，配合做好选址、用地协调等工作。</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13" w:name="_Toc2908"/>
      <w:bookmarkStart w:id="314" w:name="_Toc9103"/>
      <w:bookmarkStart w:id="315" w:name="_Toc12752"/>
      <w:bookmarkStart w:id="316" w:name="_Toc10593"/>
      <w:r>
        <w:rPr>
          <w:rFonts w:hint="eastAsia" w:ascii="楷体_GB2312" w:hAnsi="楷体_GB2312" w:eastAsia="楷体_GB2312" w:cs="楷体_GB2312"/>
          <w:b w:val="0"/>
          <w:bCs w:val="0"/>
          <w:sz w:val="32"/>
          <w:szCs w:val="32"/>
          <w:highlight w:val="none"/>
          <w:lang w:val="en-US" w:eastAsia="zh-CN"/>
        </w:rPr>
        <w:t>（二）明确责任分工</w:t>
      </w:r>
      <w:bookmarkEnd w:id="313"/>
      <w:bookmarkEnd w:id="314"/>
      <w:bookmarkEnd w:id="315"/>
      <w:bookmarkEnd w:id="316"/>
    </w:p>
    <w:p>
      <w:pPr>
        <w:pStyle w:val="17"/>
        <w:keepNext w:val="0"/>
        <w:keepLines w:val="0"/>
        <w:pageBreakBefore w:val="0"/>
        <w:widowControl/>
        <w:suppressLineNumbers w:val="0"/>
        <w:kinsoku/>
        <w:wordWrap/>
        <w:overflowPunct/>
        <w:topLinePunct w:val="0"/>
        <w:bidi w:val="0"/>
        <w:snapToGrid/>
        <w:spacing w:before="0" w:beforeAutospacing="0" w:after="0" w:afterAutospacing="0" w:line="520" w:lineRule="exact"/>
        <w:ind w:left="0" w:right="0"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将农村生活污水治理纳作乡村振兴实施战略重点工作，各部门统筹协调、依法履职、各尽其责，做好农村生活污水处理设施的具体建设、运营、管理、资金保障与监督考核工作。各个</w:t>
      </w:r>
      <w:r>
        <w:rPr>
          <w:rFonts w:hint="eastAsia" w:ascii="仿宋_GB2312" w:hAnsi="仿宋_GB2312" w:eastAsia="仿宋_GB2312" w:cs="仿宋_GB2312"/>
          <w:sz w:val="32"/>
          <w:szCs w:val="32"/>
          <w:highlight w:val="none"/>
        </w:rPr>
        <w:t>管理机构要根据农村生活污水治理工作的各个侧重点划定人员职能，做到分工明确、责任清晰。签订目标责任书，列入部门</w:t>
      </w:r>
      <w:r>
        <w:rPr>
          <w:rFonts w:hint="eastAsia" w:ascii="仿宋_GB2312" w:hAnsi="仿宋_GB2312" w:eastAsia="仿宋_GB2312" w:cs="仿宋_GB2312"/>
          <w:kern w:val="2"/>
          <w:sz w:val="32"/>
          <w:szCs w:val="32"/>
          <w:highlight w:val="none"/>
          <w:lang w:val="en-US" w:eastAsia="zh-CN" w:bidi="ar-SA"/>
        </w:rPr>
        <w:t>和个人年终考核指标要求。</w:t>
      </w:r>
    </w:p>
    <w:p>
      <w:pPr>
        <w:pStyle w:val="2"/>
        <w:pageBreakBefore w:val="0"/>
        <w:kinsoku/>
        <w:wordWrap/>
        <w:overflowPunct/>
        <w:topLinePunct w:val="0"/>
        <w:bidi w:val="0"/>
        <w:snapToGrid/>
        <w:spacing w:after="0" w:line="520" w:lineRule="exact"/>
        <w:ind w:left="0" w:leftChars="0" w:firstLine="640" w:firstLineChars="200"/>
        <w:textAlignment w:val="auto"/>
        <w:rPr>
          <w:rFonts w:hint="eastAsia" w:ascii="仿宋_GB2312" w:hAnsi="仿宋_GB2312" w:eastAsia="仿宋_GB2312" w:cs="仿宋_GB2312"/>
          <w:kern w:val="2"/>
          <w:sz w:val="32"/>
          <w:szCs w:val="32"/>
          <w:highlight w:val="none"/>
          <w:lang w:val="en-US" w:eastAsia="zh-CN" w:bidi="ar-SA"/>
        </w:rPr>
      </w:pPr>
      <w:r>
        <w:rPr>
          <w:rFonts w:hint="eastAsia" w:ascii="仿宋_GB2312" w:hAnsi="仿宋_GB2312" w:eastAsia="仿宋_GB2312" w:cs="仿宋_GB2312"/>
          <w:kern w:val="2"/>
          <w:sz w:val="32"/>
          <w:szCs w:val="32"/>
          <w:highlight w:val="none"/>
          <w:lang w:val="en-US" w:eastAsia="zh-CN" w:bidi="ar-SA"/>
        </w:rPr>
        <w:t>住建部门指导规范建设，督促推进城区农村生活污水治理PPP项目，加强农村生活污水处理设施及污水主管网建设工作及后续运维管理工作；生态环境部门做好农村生活污水处理设施出水水质监测，强化环境监管执法；农业农村与水利部门牵头推进雨污分流管网建设，因地制宜推进资源化利用模式，将农村生活污水治理作为重要内容和考核指标，指导各地有机统筹、一体推进农村污水治理，明确农村厕所改造要求，指导监督各地将农村范围内户厕、公厕接入污水处理设施（包括管网及资源化利用输送设备），组织雨污分流管网建设单位在保修期内对镇村运维管理人员进行业务培训；卫生健康部门协同推进农村厕所无害化改造；财政部门研究保障涉农资金的农村生活污水资金投入比例，建立健全农村生活污水治理工作奖补政策。自然资源、交通运输、税务、电力等相关部门按职责落实农村生活污水处理设施用地、用电、税收等优惠政策。</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17" w:name="_Toc682"/>
      <w:bookmarkStart w:id="318" w:name="_Toc22869"/>
      <w:bookmarkStart w:id="319" w:name="_Toc31771"/>
      <w:bookmarkStart w:id="320" w:name="_Toc13779"/>
      <w:r>
        <w:rPr>
          <w:rFonts w:hint="eastAsia" w:ascii="楷体_GB2312" w:hAnsi="楷体_GB2312" w:eastAsia="楷体_GB2312" w:cs="楷体_GB2312"/>
          <w:b w:val="0"/>
          <w:bCs w:val="0"/>
          <w:sz w:val="32"/>
          <w:szCs w:val="32"/>
          <w:highlight w:val="none"/>
          <w:lang w:val="en-US" w:eastAsia="zh-CN"/>
        </w:rPr>
        <w:t>（三）加大资金保障</w:t>
      </w:r>
      <w:bookmarkEnd w:id="317"/>
      <w:bookmarkEnd w:id="318"/>
      <w:bookmarkEnd w:id="319"/>
      <w:bookmarkEnd w:id="320"/>
      <w:r>
        <w:rPr>
          <w:rFonts w:hint="eastAsia" w:ascii="楷体_GB2312" w:hAnsi="楷体_GB2312" w:eastAsia="楷体_GB2312" w:cs="楷体_GB2312"/>
          <w:b w:val="0"/>
          <w:bCs w:val="0"/>
          <w:sz w:val="32"/>
          <w:szCs w:val="32"/>
          <w:highlight w:val="none"/>
          <w:lang w:val="en-US" w:eastAsia="zh-CN"/>
        </w:rPr>
        <w:tab/>
      </w:r>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全区应进一步建立</w:t>
      </w:r>
      <w:r>
        <w:rPr>
          <w:rFonts w:hint="eastAsia" w:ascii="仿宋_GB2312" w:hAnsi="仿宋_GB2312" w:eastAsia="仿宋_GB2312" w:cs="仿宋_GB2312"/>
          <w:sz w:val="32"/>
          <w:szCs w:val="32"/>
          <w:highlight w:val="none"/>
        </w:rPr>
        <w:t>完善政府主导、社会参与的多元资金投入机制，将污水处理设施管理工作所需经费纳入本级财政预算，重点用于处理设施建设改造、运行维护，支持相关技术、产品研发和推广，</w:t>
      </w:r>
      <w:r>
        <w:rPr>
          <w:rFonts w:hint="eastAsia" w:ascii="仿宋_GB2312" w:hAnsi="仿宋_GB2312" w:eastAsia="仿宋_GB2312" w:cs="仿宋_GB2312"/>
          <w:sz w:val="32"/>
          <w:szCs w:val="32"/>
          <w:highlight w:val="none"/>
          <w:lang w:val="en-US" w:eastAsia="zh-CN"/>
        </w:rPr>
        <w:t>组织相关</w:t>
      </w:r>
      <w:r>
        <w:rPr>
          <w:rFonts w:hint="eastAsia" w:ascii="仿宋_GB2312" w:hAnsi="仿宋_GB2312" w:eastAsia="仿宋_GB2312" w:cs="仿宋_GB2312"/>
          <w:sz w:val="32"/>
          <w:szCs w:val="32"/>
          <w:highlight w:val="none"/>
        </w:rPr>
        <w:t>宣传教育和信息服务。做好农村生活污水治理项目库储备工作，积极申报中央和省污染防治资金及涉农资金，做好农村生活污水治理资金保障。统筹用好涉农资金，</w:t>
      </w:r>
      <w:r>
        <w:rPr>
          <w:rFonts w:hint="eastAsia" w:ascii="仿宋_GB2312" w:hAnsi="仿宋_GB2312" w:eastAsia="仿宋_GB2312" w:cs="仿宋_GB2312"/>
          <w:sz w:val="32"/>
          <w:szCs w:val="32"/>
          <w:highlight w:val="none"/>
          <w:lang w:val="en-US" w:eastAsia="zh-CN"/>
        </w:rPr>
        <w:t>明确</w:t>
      </w:r>
      <w:r>
        <w:rPr>
          <w:rFonts w:hint="eastAsia" w:ascii="仿宋_GB2312" w:hAnsi="仿宋_GB2312" w:eastAsia="仿宋_GB2312" w:cs="仿宋_GB2312"/>
          <w:sz w:val="32"/>
          <w:szCs w:val="32"/>
          <w:highlight w:val="none"/>
        </w:rPr>
        <w:t>支持实施符合政策要求的农村生活污水治理项目</w:t>
      </w:r>
      <w:r>
        <w:rPr>
          <w:rFonts w:hint="eastAsia" w:ascii="仿宋_GB2312" w:hAnsi="仿宋_GB2312" w:eastAsia="仿宋_GB2312" w:cs="仿宋_GB2312"/>
          <w:sz w:val="32"/>
          <w:szCs w:val="32"/>
          <w:highlight w:val="none"/>
          <w:lang w:val="en-US" w:eastAsia="zh-CN"/>
        </w:rPr>
        <w:t>的投入比例</w:t>
      </w:r>
      <w:r>
        <w:rPr>
          <w:rFonts w:hint="eastAsia" w:ascii="仿宋_GB2312" w:hAnsi="仿宋_GB2312" w:eastAsia="仿宋_GB2312" w:cs="仿宋_GB2312"/>
          <w:sz w:val="32"/>
          <w:szCs w:val="32"/>
          <w:highlight w:val="none"/>
        </w:rPr>
        <w:t>。通过赞助、冠名等方式引导工商企业、新乡贤支持实施农村生活污水治理。加强运维资金保障，将运维管理资金纳入</w:t>
      </w:r>
      <w:r>
        <w:rPr>
          <w:rFonts w:hint="eastAsia" w:ascii="仿宋_GB2312" w:hAnsi="仿宋_GB2312" w:eastAsia="仿宋_GB2312" w:cs="仿宋_GB2312"/>
          <w:sz w:val="32"/>
          <w:szCs w:val="32"/>
          <w:highlight w:val="none"/>
          <w:lang w:eastAsia="zh-CN"/>
        </w:rPr>
        <w:t>区</w:t>
      </w:r>
      <w:r>
        <w:rPr>
          <w:rFonts w:hint="eastAsia" w:ascii="仿宋_GB2312" w:hAnsi="仿宋_GB2312" w:eastAsia="仿宋_GB2312" w:cs="仿宋_GB2312"/>
          <w:sz w:val="32"/>
          <w:szCs w:val="32"/>
          <w:highlight w:val="none"/>
        </w:rPr>
        <w:t>级政府年度预算，逐步探索财政投入为主、村集体及村民为辅的运维管理资金筹措方式。</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21" w:name="_Toc3540"/>
      <w:bookmarkStart w:id="322" w:name="_Toc5466"/>
      <w:bookmarkStart w:id="323" w:name="_Toc31768"/>
      <w:bookmarkStart w:id="324" w:name="_Toc24225"/>
      <w:r>
        <w:rPr>
          <w:rFonts w:hint="eastAsia" w:ascii="楷体_GB2312" w:hAnsi="楷体_GB2312" w:eastAsia="楷体_GB2312" w:cs="楷体_GB2312"/>
          <w:b w:val="0"/>
          <w:bCs w:val="0"/>
          <w:sz w:val="32"/>
          <w:szCs w:val="32"/>
          <w:highlight w:val="none"/>
          <w:lang w:val="en-US" w:eastAsia="zh-CN"/>
        </w:rPr>
        <w:t>（四）深化监督考核</w:t>
      </w:r>
      <w:bookmarkEnd w:id="321"/>
      <w:bookmarkEnd w:id="322"/>
      <w:bookmarkEnd w:id="323"/>
      <w:bookmarkEnd w:id="324"/>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rPr>
        <w:t>加强</w:t>
      </w:r>
      <w:r>
        <w:rPr>
          <w:rFonts w:hint="eastAsia" w:ascii="仿宋_GB2312" w:hAnsi="仿宋_GB2312" w:eastAsia="仿宋_GB2312" w:cs="仿宋_GB2312"/>
          <w:sz w:val="32"/>
          <w:szCs w:val="32"/>
          <w:highlight w:val="none"/>
          <w:lang w:val="en-US" w:eastAsia="zh-CN"/>
        </w:rPr>
        <w:t>全区范围内</w:t>
      </w:r>
      <w:r>
        <w:rPr>
          <w:rFonts w:hint="eastAsia" w:ascii="仿宋_GB2312" w:hAnsi="仿宋_GB2312" w:eastAsia="仿宋_GB2312" w:cs="仿宋_GB2312"/>
          <w:sz w:val="32"/>
          <w:szCs w:val="32"/>
          <w:highlight w:val="none"/>
        </w:rPr>
        <w:t>农村生活污水治理规范性、科学性指导，提高治理工程项目设计、建设过程的参与度，落实</w:t>
      </w:r>
      <w:r>
        <w:rPr>
          <w:rFonts w:hint="eastAsia" w:ascii="仿宋_GB2312" w:hAnsi="仿宋_GB2312" w:eastAsia="仿宋_GB2312" w:cs="仿宋_GB2312"/>
          <w:sz w:val="32"/>
          <w:szCs w:val="32"/>
          <w:highlight w:val="none"/>
          <w:lang w:val="en-US" w:eastAsia="zh-CN"/>
        </w:rPr>
        <w:t>全</w:t>
      </w:r>
      <w:r>
        <w:rPr>
          <w:rFonts w:hint="eastAsia" w:ascii="仿宋_GB2312" w:hAnsi="仿宋_GB2312" w:eastAsia="仿宋_GB2312" w:cs="仿宋_GB2312"/>
          <w:sz w:val="32"/>
          <w:szCs w:val="32"/>
          <w:highlight w:val="none"/>
        </w:rPr>
        <w:t>过程监管。定期组织开展日处理能力20吨及以上的农村生活污水处理设施出水水质监测，建立农村生活污水治理台账清单，抽查、核实治理情况，落实季度调度与审核工作，各地要加强数据调度，按要求规范、准确上报数据，制定有清单、有检查、有考核、有激励、有问责的管理方案</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作为农村生活污水</w:t>
      </w:r>
      <w:r>
        <w:rPr>
          <w:rFonts w:hint="eastAsia" w:ascii="仿宋_GB2312" w:hAnsi="仿宋_GB2312" w:eastAsia="仿宋_GB2312" w:cs="仿宋_GB2312"/>
          <w:sz w:val="32"/>
          <w:szCs w:val="32"/>
          <w:highlight w:val="none"/>
          <w:lang w:val="en-US" w:eastAsia="zh-CN"/>
        </w:rPr>
        <w:t>资金分配、</w:t>
      </w:r>
      <w:r>
        <w:rPr>
          <w:rFonts w:hint="eastAsia" w:ascii="仿宋_GB2312" w:hAnsi="仿宋_GB2312" w:eastAsia="仿宋_GB2312" w:cs="仿宋_GB2312"/>
          <w:sz w:val="32"/>
          <w:szCs w:val="32"/>
          <w:highlight w:val="none"/>
        </w:rPr>
        <w:t>设施管理及运维成效考核参考依据。农村生活污水治理成效评估纳入乡村振兴战略实绩考核，纳入党政领导班子和领导干部综合考核评价内容</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加强考核结果应用。畅通公众监督渠道与问题反馈机制，鼓励群众监督，督促对核查发现的问题及时整改</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lang w:val="en-US" w:eastAsia="zh-CN"/>
        </w:rPr>
        <w:t>明确责任主体、资金来源、改进措施、运维单位和完成时限。</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25" w:name="_Toc17965"/>
      <w:bookmarkStart w:id="326" w:name="_Toc23539"/>
      <w:bookmarkStart w:id="327" w:name="_Toc22428"/>
      <w:bookmarkStart w:id="328" w:name="_Toc29838"/>
      <w:r>
        <w:rPr>
          <w:rFonts w:hint="eastAsia" w:ascii="楷体_GB2312" w:hAnsi="楷体_GB2312" w:eastAsia="楷体_GB2312" w:cs="楷体_GB2312"/>
          <w:b w:val="0"/>
          <w:bCs w:val="0"/>
          <w:sz w:val="32"/>
          <w:szCs w:val="32"/>
          <w:highlight w:val="none"/>
          <w:lang w:val="en-US" w:eastAsia="zh-CN"/>
        </w:rPr>
        <w:t>（五）加强宣传培训</w:t>
      </w:r>
      <w:bookmarkEnd w:id="325"/>
      <w:bookmarkEnd w:id="326"/>
      <w:bookmarkEnd w:id="327"/>
      <w:bookmarkEnd w:id="328"/>
    </w:p>
    <w:p>
      <w:pPr>
        <w:pageBreakBefore w:val="0"/>
        <w:kinsoku/>
        <w:wordWrap/>
        <w:overflowPunct/>
        <w:topLinePunct w:val="0"/>
        <w:autoSpaceDE w:val="0"/>
        <w:autoSpaceDN w:val="0"/>
        <w:bidi w:val="0"/>
        <w:adjustRightInd w:val="0"/>
        <w:snapToGrid/>
        <w:spacing w:line="520" w:lineRule="exact"/>
        <w:ind w:firstLine="640" w:firstLineChars="200"/>
        <w:textAlignment w:val="auto"/>
        <w:rPr>
          <w:rFonts w:hint="eastAsia" w:ascii="仿宋_GB2312" w:hAnsi="仿宋_GB2312" w:eastAsia="仿宋_GB2312" w:cs="仿宋_GB2312"/>
          <w:sz w:val="32"/>
          <w:szCs w:val="32"/>
          <w:highlight w:val="none"/>
        </w:rPr>
      </w:pPr>
      <w:r>
        <w:rPr>
          <w:rFonts w:hint="eastAsia" w:ascii="仿宋_GB2312" w:hAnsi="仿宋_GB2312" w:eastAsia="仿宋_GB2312" w:cs="仿宋_GB2312"/>
          <w:sz w:val="32"/>
          <w:szCs w:val="32"/>
          <w:highlight w:val="none"/>
          <w:lang w:val="en-US" w:eastAsia="zh-CN"/>
        </w:rPr>
        <w:t>积极组织</w:t>
      </w:r>
      <w:r>
        <w:rPr>
          <w:rFonts w:hint="eastAsia" w:ascii="仿宋_GB2312" w:hAnsi="仿宋_GB2312" w:eastAsia="仿宋_GB2312" w:cs="仿宋_GB2312"/>
          <w:sz w:val="32"/>
          <w:szCs w:val="32"/>
          <w:highlight w:val="none"/>
        </w:rPr>
        <w:t>有关部门开展宣传教育，创新宣传方式，普及污水处理设施运行维护知识</w:t>
      </w:r>
      <w:r>
        <w:rPr>
          <w:rFonts w:hint="eastAsia" w:ascii="仿宋_GB2312" w:hAnsi="仿宋_GB2312" w:eastAsia="仿宋_GB2312" w:cs="仿宋_GB2312"/>
          <w:sz w:val="32"/>
          <w:szCs w:val="32"/>
          <w:highlight w:val="none"/>
          <w:lang w:eastAsia="zh-CN"/>
        </w:rPr>
        <w:t>，</w:t>
      </w:r>
      <w:r>
        <w:rPr>
          <w:rFonts w:hint="eastAsia" w:ascii="仿宋_GB2312" w:hAnsi="仿宋_GB2312" w:eastAsia="仿宋_GB2312" w:cs="仿宋_GB2312"/>
          <w:sz w:val="32"/>
          <w:szCs w:val="32"/>
          <w:highlight w:val="none"/>
        </w:rPr>
        <w:t>建立农村生活污</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"http://s.fqac.org/Page/ZXSo.ashx?Keyword=%E6%B0%B4%E5%A4%84%E7%90%86" \t "http://www.fqac.org/Page/_blank"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水处理</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设施运维管理人员培训制度，采用专业培训、理论辅导与实际操作相结合等多种培训教育方式，定期组织对农村生活污</w:t>
      </w:r>
      <w:r>
        <w:rPr>
          <w:rFonts w:hint="eastAsia" w:ascii="仿宋_GB2312" w:hAnsi="仿宋_GB2312" w:eastAsia="仿宋_GB2312" w:cs="仿宋_GB2312"/>
          <w:sz w:val="32"/>
          <w:szCs w:val="32"/>
          <w:highlight w:val="none"/>
        </w:rPr>
        <w:fldChar w:fldCharType="begin"/>
      </w:r>
      <w:r>
        <w:rPr>
          <w:rFonts w:hint="eastAsia" w:ascii="仿宋_GB2312" w:hAnsi="仿宋_GB2312" w:eastAsia="仿宋_GB2312" w:cs="仿宋_GB2312"/>
          <w:sz w:val="32"/>
          <w:szCs w:val="32"/>
          <w:highlight w:val="none"/>
        </w:rPr>
        <w:instrText xml:space="preserve"> HYPERLINK "http://s.fqac.org/Page/ZXSo.ashx?Keyword=%E6%B0%B4%E5%A4%84%E7%90%86" \t "http://www.fqac.org/Page/_blank" </w:instrText>
      </w:r>
      <w:r>
        <w:rPr>
          <w:rFonts w:hint="eastAsia" w:ascii="仿宋_GB2312" w:hAnsi="仿宋_GB2312" w:eastAsia="仿宋_GB2312" w:cs="仿宋_GB2312"/>
          <w:sz w:val="32"/>
          <w:szCs w:val="32"/>
          <w:highlight w:val="none"/>
        </w:rPr>
        <w:fldChar w:fldCharType="separate"/>
      </w:r>
      <w:r>
        <w:rPr>
          <w:rFonts w:hint="eastAsia" w:ascii="仿宋_GB2312" w:hAnsi="仿宋_GB2312" w:eastAsia="仿宋_GB2312" w:cs="仿宋_GB2312"/>
          <w:sz w:val="32"/>
          <w:szCs w:val="32"/>
          <w:highlight w:val="none"/>
        </w:rPr>
        <w:t>水处理</w:t>
      </w:r>
      <w:r>
        <w:rPr>
          <w:rFonts w:hint="eastAsia" w:ascii="仿宋_GB2312" w:hAnsi="仿宋_GB2312" w:eastAsia="仿宋_GB2312" w:cs="仿宋_GB2312"/>
          <w:sz w:val="32"/>
          <w:szCs w:val="32"/>
          <w:highlight w:val="none"/>
        </w:rPr>
        <w:fldChar w:fldCharType="end"/>
      </w:r>
      <w:r>
        <w:rPr>
          <w:rFonts w:hint="eastAsia" w:ascii="仿宋_GB2312" w:hAnsi="仿宋_GB2312" w:eastAsia="仿宋_GB2312" w:cs="仿宋_GB2312"/>
          <w:sz w:val="32"/>
          <w:szCs w:val="32"/>
          <w:highlight w:val="none"/>
        </w:rPr>
        <w:t>设施主管部门等管理人员进行相关知识和技能培训，强化农村生活污水治理人才队伍建设。</w:t>
      </w:r>
    </w:p>
    <w:p>
      <w:pPr>
        <w:pStyle w:val="5"/>
        <w:pageBreakBefore w:val="0"/>
        <w:kinsoku/>
        <w:wordWrap/>
        <w:overflowPunct/>
        <w:topLinePunct w:val="0"/>
        <w:bidi w:val="0"/>
        <w:snapToGrid/>
        <w:spacing w:before="0" w:after="0" w:line="520" w:lineRule="exact"/>
        <w:ind w:left="0" w:leftChars="0" w:firstLine="640" w:firstLineChars="200"/>
        <w:textAlignment w:val="auto"/>
        <w:rPr>
          <w:rFonts w:hint="eastAsia" w:ascii="楷体_GB2312" w:hAnsi="楷体_GB2312" w:eastAsia="楷体_GB2312" w:cs="楷体_GB2312"/>
          <w:b w:val="0"/>
          <w:bCs w:val="0"/>
          <w:sz w:val="32"/>
          <w:szCs w:val="32"/>
          <w:highlight w:val="none"/>
          <w:lang w:val="en-US" w:eastAsia="zh-CN"/>
        </w:rPr>
      </w:pPr>
      <w:bookmarkStart w:id="329" w:name="_Toc2781"/>
      <w:bookmarkStart w:id="330" w:name="_Toc10186"/>
      <w:bookmarkStart w:id="331" w:name="_Toc17817"/>
      <w:bookmarkStart w:id="332" w:name="_Toc16621"/>
      <w:r>
        <w:rPr>
          <w:rFonts w:hint="eastAsia" w:ascii="楷体_GB2312" w:hAnsi="楷体_GB2312" w:eastAsia="楷体_GB2312" w:cs="楷体_GB2312"/>
          <w:b w:val="0"/>
          <w:bCs w:val="0"/>
          <w:sz w:val="32"/>
          <w:szCs w:val="32"/>
          <w:highlight w:val="none"/>
          <w:lang w:val="en-US" w:eastAsia="zh-CN"/>
        </w:rPr>
        <w:t>（六）创新工作机制</w:t>
      </w:r>
      <w:bookmarkEnd w:id="329"/>
      <w:bookmarkEnd w:id="330"/>
      <w:bookmarkEnd w:id="331"/>
      <w:bookmarkEnd w:id="332"/>
    </w:p>
    <w:p>
      <w:pPr>
        <w:pStyle w:val="2"/>
        <w:pageBreakBefore w:val="0"/>
        <w:kinsoku/>
        <w:wordWrap/>
        <w:overflowPunct/>
        <w:topLinePunct w:val="0"/>
        <w:bidi w:val="0"/>
        <w:snapToGrid/>
        <w:spacing w:after="0" w:line="520" w:lineRule="exact"/>
        <w:ind w:left="0" w:leftChars="0" w:firstLine="640" w:firstLineChars="200"/>
        <w:textAlignment w:val="auto"/>
        <w:rPr>
          <w:rFonts w:hint="eastAsia" w:ascii="仿宋_GB2312" w:hAnsi="仿宋_GB2312" w:eastAsia="仿宋_GB2312" w:cs="仿宋_GB2312"/>
          <w:sz w:val="32"/>
          <w:szCs w:val="32"/>
          <w:lang w:val="en-US"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r>
        <w:rPr>
          <w:rFonts w:hint="eastAsia" w:ascii="仿宋_GB2312" w:hAnsi="仿宋_GB2312" w:eastAsia="仿宋_GB2312" w:cs="仿宋_GB2312"/>
          <w:sz w:val="32"/>
          <w:szCs w:val="32"/>
          <w:highlight w:val="none"/>
        </w:rPr>
        <w:t>充分发挥镇、村基层组织作用，入村、入户宣传农村生活污水治理的重要意义，尊重村民意愿和风俗习惯，保障村民的决策权、参与权与监督权。建立政府与村民共谋、共建、共管、共享的机制，调动群众参与主动性，确保农村污水处理设施长期稳定运行。进一步完善公众参与机制，借助电视、广播、网站、手机客户端等媒介，加强宣传和信息公开</w:t>
      </w:r>
      <w:r>
        <w:rPr>
          <w:rFonts w:hint="eastAsia" w:ascii="仿宋_GB2312" w:hAnsi="仿宋_GB2312" w:eastAsia="仿宋_GB2312" w:cs="仿宋_GB2312"/>
          <w:sz w:val="32"/>
          <w:szCs w:val="32"/>
          <w:highlight w:val="none"/>
          <w:lang w:eastAsia="zh-CN"/>
        </w:rPr>
        <w:t>。</w:t>
      </w:r>
    </w:p>
    <w:p>
      <w:pPr>
        <w:pStyle w:val="4"/>
        <w:keepNext/>
        <w:keepLines/>
        <w:pageBreakBefore w:val="0"/>
        <w:widowControl w:val="0"/>
        <w:kinsoku/>
        <w:wordWrap/>
        <w:overflowPunct/>
        <w:topLinePunct w:val="0"/>
        <w:autoSpaceDE/>
        <w:autoSpaceDN/>
        <w:bidi w:val="0"/>
        <w:adjustRightInd/>
        <w:snapToGrid/>
        <w:spacing w:before="120" w:after="120" w:line="360" w:lineRule="auto"/>
        <w:jc w:val="center"/>
        <w:textAlignment w:val="auto"/>
        <w:rPr>
          <w:rFonts w:hint="eastAsia" w:ascii="方正小标宋简体" w:hAnsi="方正小标宋简体" w:eastAsia="方正小标宋简体" w:cs="方正小标宋简体"/>
          <w:sz w:val="32"/>
          <w:szCs w:val="32"/>
          <w:highlight w:val="none"/>
          <w:lang w:val="en-US" w:eastAsia="zh-CN"/>
        </w:rPr>
      </w:pPr>
      <w:bookmarkStart w:id="333" w:name="_Toc30391"/>
      <w:r>
        <w:rPr>
          <w:rFonts w:hint="eastAsia" w:ascii="方正小标宋简体" w:hAnsi="方正小标宋简体" w:eastAsia="方正小标宋简体" w:cs="方正小标宋简体"/>
          <w:b w:val="0"/>
          <w:bCs w:val="0"/>
          <w:sz w:val="32"/>
          <w:szCs w:val="32"/>
          <w:highlight w:val="none"/>
          <w:lang w:val="en-US" w:eastAsia="zh-CN"/>
        </w:rPr>
        <w:t>附表1 城区农村生活污水治理攻坚规划任务分解表</w:t>
      </w:r>
      <w:bookmarkEnd w:id="333"/>
    </w:p>
    <w:tbl>
      <w:tblPr>
        <w:tblStyle w:val="20"/>
        <w:tblW w:w="539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9"/>
        <w:gridCol w:w="1208"/>
        <w:gridCol w:w="1453"/>
        <w:gridCol w:w="1935"/>
        <w:gridCol w:w="1456"/>
        <w:gridCol w:w="2417"/>
        <w:gridCol w:w="1456"/>
        <w:gridCol w:w="2417"/>
        <w:gridCol w:w="14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8" w:hRule="atLeast"/>
          <w:jc w:val="center"/>
        </w:trPr>
        <w:tc>
          <w:tcPr>
            <w:tcW w:w="24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4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镇/街道</w:t>
            </w:r>
          </w:p>
        </w:tc>
        <w:tc>
          <w:tcPr>
            <w:tcW w:w="50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自然村总数</w:t>
            </w:r>
          </w:p>
        </w:tc>
        <w:tc>
          <w:tcPr>
            <w:tcW w:w="116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2021年</w:t>
            </w:r>
          </w:p>
        </w:tc>
        <w:tc>
          <w:tcPr>
            <w:tcW w:w="133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2022年</w:t>
            </w:r>
          </w:p>
        </w:tc>
        <w:tc>
          <w:tcPr>
            <w:tcW w:w="133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rPr>
            </w:pPr>
            <w:r>
              <w:rPr>
                <w:rFonts w:hint="eastAsia" w:ascii="仿宋_GB2312" w:hAnsi="仿宋_GB2312" w:eastAsia="仿宋_GB2312" w:cs="仿宋_GB2312"/>
                <w:b/>
                <w:bCs/>
                <w:i w:val="0"/>
                <w:iCs w:val="0"/>
                <w:color w:val="000000"/>
                <w:kern w:val="0"/>
                <w:sz w:val="21"/>
                <w:szCs w:val="21"/>
                <w:u w:val="none"/>
                <w:lang w:val="en-US" w:eastAsia="zh-CN" w:bidi="ar"/>
              </w:rPr>
              <w:t>2023年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59" w:hRule="atLeast"/>
          <w:jc w:val="center"/>
        </w:trPr>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4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50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自然村完成基数</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完成率基数</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目标完成自然村数量</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目标完成率</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目标完成自然村数量</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目标完成率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bookmarkStart w:id="334" w:name="OLE_LINK4" w:colFirst="5" w:colLast="5"/>
            <w:r>
              <w:rPr>
                <w:rFonts w:hint="eastAsia" w:ascii="仿宋_GB2312" w:hAnsi="仿宋_GB2312" w:eastAsia="仿宋_GB2312" w:cs="仿宋_GB2312"/>
                <w:b/>
                <w:bCs/>
                <w:i w:val="0"/>
                <w:iCs w:val="0"/>
                <w:color w:val="000000"/>
                <w:kern w:val="0"/>
                <w:sz w:val="21"/>
                <w:szCs w:val="21"/>
                <w:u w:val="none"/>
                <w:lang w:val="en-US" w:eastAsia="zh-CN" w:bidi="ar"/>
              </w:rPr>
              <w:t>1</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东涌镇</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40</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29</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72.5</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11</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2</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捷胜镇</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27</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24</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88.9%</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3</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红草镇</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31</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56.4%</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11</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76.4</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kern w:val="0"/>
                <w:sz w:val="21"/>
                <w:szCs w:val="21"/>
                <w:u w:val="none"/>
                <w:lang w:val="en-US" w:eastAsia="zh-CN" w:bidi="ar"/>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4</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马宫街道</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23</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16</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69.6</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5</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凤山街道</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75</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6</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香洲街道</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8"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7</w:t>
            </w:r>
          </w:p>
        </w:tc>
        <w:tc>
          <w:tcPr>
            <w:tcW w:w="4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新港街道</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0</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100</w:t>
            </w:r>
            <w:r>
              <w:rPr>
                <w:rFonts w:hint="eastAsia" w:ascii="仿宋_GB2312" w:hAnsi="仿宋_GB2312" w:eastAsia="仿宋_GB2312" w:cs="仿宋_GB2312"/>
                <w:i w:val="0"/>
                <w:iCs w:val="0"/>
                <w:color w:val="000000"/>
                <w:kern w:val="0"/>
                <w:sz w:val="21"/>
                <w:szCs w:val="21"/>
                <w:u w:val="none"/>
                <w:lang w:val="en-US" w:eastAsia="zh-CN" w:bidi="ar"/>
              </w:rPr>
              <w:t>%</w:t>
            </w:r>
          </w:p>
        </w:tc>
      </w:tr>
      <w:bookmarkEnd w:id="334"/>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12" w:hRule="atLeast"/>
          <w:jc w:val="center"/>
        </w:trPr>
        <w:tc>
          <w:tcPr>
            <w:tcW w:w="24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8</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rPr>
            </w:pPr>
            <w:r>
              <w:rPr>
                <w:rFonts w:hint="eastAsia" w:ascii="仿宋_GB2312" w:hAnsi="仿宋_GB2312" w:eastAsia="仿宋_GB2312" w:cs="仿宋_GB2312"/>
                <w:b/>
                <w:bCs/>
                <w:i w:val="0"/>
                <w:iCs w:val="0"/>
                <w:color w:val="000000"/>
                <w:kern w:val="0"/>
                <w:sz w:val="21"/>
                <w:szCs w:val="21"/>
                <w:highlight w:val="none"/>
                <w:u w:val="none"/>
                <w:lang w:val="en-US" w:eastAsia="zh-CN" w:bidi="ar"/>
              </w:rPr>
              <w:t>合计</w:t>
            </w:r>
          </w:p>
        </w:tc>
        <w:tc>
          <w:tcPr>
            <w:tcW w:w="5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lang w:val="en-US"/>
              </w:rPr>
            </w:pPr>
            <w:r>
              <w:rPr>
                <w:rFonts w:hint="eastAsia" w:ascii="仿宋_GB2312" w:hAnsi="仿宋_GB2312" w:eastAsia="仿宋_GB2312" w:cs="仿宋_GB2312"/>
                <w:b/>
                <w:bCs/>
                <w:i w:val="0"/>
                <w:iCs w:val="0"/>
                <w:color w:val="000000"/>
                <w:kern w:val="0"/>
                <w:sz w:val="21"/>
                <w:szCs w:val="21"/>
                <w:highlight w:val="none"/>
                <w:u w:val="none"/>
                <w:lang w:val="en-US" w:eastAsia="zh-CN" w:bidi="ar"/>
              </w:rPr>
              <w:t>158</w:t>
            </w:r>
          </w:p>
        </w:tc>
        <w:tc>
          <w:tcPr>
            <w:tcW w:w="6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lang w:val="en-US" w:eastAsia="zh-CN"/>
              </w:rPr>
            </w:pPr>
            <w:r>
              <w:rPr>
                <w:rFonts w:hint="eastAsia" w:ascii="仿宋_GB2312" w:hAnsi="仿宋_GB2312" w:eastAsia="仿宋_GB2312" w:cs="仿宋_GB2312"/>
                <w:b/>
                <w:bCs/>
                <w:i w:val="0"/>
                <w:iCs w:val="0"/>
                <w:color w:val="000000"/>
                <w:sz w:val="21"/>
                <w:szCs w:val="21"/>
                <w:highlight w:val="none"/>
                <w:u w:val="none"/>
                <w:lang w:val="en-US" w:eastAsia="zh-CN"/>
              </w:rPr>
              <w:t>112</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highlight w:val="none"/>
                <w:u w:val="none"/>
                <w:lang w:val="en-US" w:eastAsia="zh-CN"/>
              </w:rPr>
            </w:pPr>
            <w:r>
              <w:rPr>
                <w:rFonts w:hint="eastAsia" w:ascii="仿宋_GB2312" w:hAnsi="仿宋_GB2312" w:eastAsia="仿宋_GB2312" w:cs="仿宋_GB2312"/>
                <w:b/>
                <w:bCs/>
                <w:i w:val="0"/>
                <w:iCs w:val="0"/>
                <w:color w:val="000000"/>
                <w:sz w:val="21"/>
                <w:szCs w:val="21"/>
                <w:highlight w:val="none"/>
                <w:u w:val="none"/>
                <w:lang w:val="en-US" w:eastAsia="zh-CN"/>
              </w:rPr>
              <w:t>70.9</w:t>
            </w:r>
            <w:r>
              <w:rPr>
                <w:rFonts w:hint="eastAsia" w:ascii="仿宋_GB2312" w:hAnsi="仿宋_GB2312" w:eastAsia="仿宋_GB2312" w:cs="仿宋_GB2312"/>
                <w:b/>
                <w:bCs/>
                <w:i w:val="0"/>
                <w:iCs w:val="0"/>
                <w:color w:val="000000"/>
                <w:kern w:val="0"/>
                <w:sz w:val="21"/>
                <w:szCs w:val="21"/>
                <w:highlight w:val="none"/>
                <w:u w:val="none"/>
                <w:lang w:val="en-US" w:eastAsia="zh-CN" w:bidi="ar"/>
              </w:rPr>
              <w:t>%</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33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80%以上</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13</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sz w:val="21"/>
                <w:szCs w:val="21"/>
                <w:u w:val="none"/>
                <w:lang w:val="en-US" w:eastAsia="zh-CN"/>
              </w:rPr>
              <w:t>95%以上</w:t>
            </w:r>
          </w:p>
        </w:tc>
      </w:tr>
    </w:tbl>
    <w:p>
      <w:pPr>
        <w:pStyle w:val="4"/>
        <w:keepNext/>
        <w:keepLines/>
        <w:pageBreakBefore w:val="0"/>
        <w:widowControl w:val="0"/>
        <w:kinsoku/>
        <w:wordWrap/>
        <w:overflowPunct/>
        <w:topLinePunct w:val="0"/>
        <w:autoSpaceDE/>
        <w:autoSpaceDN/>
        <w:bidi w:val="0"/>
        <w:adjustRightInd/>
        <w:snapToGrid/>
        <w:spacing w:before="120" w:after="120" w:line="360" w:lineRule="auto"/>
        <w:jc w:val="center"/>
        <w:textAlignment w:val="auto"/>
        <w:rPr>
          <w:rFonts w:hint="default" w:ascii="Times New Roman" w:hAnsi="Times New Roman" w:eastAsia="宋体" w:cs="Times New Roman"/>
          <w:sz w:val="32"/>
          <w:szCs w:val="32"/>
          <w:highlight w:val="none"/>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120" w:after="120" w:line="360" w:lineRule="auto"/>
        <w:jc w:val="center"/>
        <w:textAlignment w:val="auto"/>
        <w:rPr>
          <w:rFonts w:hint="eastAsia" w:ascii="方正小标宋简体" w:hAnsi="方正小标宋简体" w:eastAsia="方正小标宋简体" w:cs="方正小标宋简体"/>
          <w:b w:val="0"/>
          <w:bCs w:val="0"/>
          <w:sz w:val="32"/>
          <w:szCs w:val="32"/>
          <w:highlight w:val="none"/>
          <w:lang w:val="en-US" w:eastAsia="zh-CN"/>
        </w:rPr>
      </w:pPr>
      <w:bookmarkStart w:id="335" w:name="_Toc14893"/>
      <w:r>
        <w:rPr>
          <w:rFonts w:hint="eastAsia" w:ascii="方正小标宋简体" w:hAnsi="方正小标宋简体" w:eastAsia="方正小标宋简体" w:cs="方正小标宋简体"/>
          <w:b w:val="0"/>
          <w:bCs w:val="0"/>
          <w:sz w:val="32"/>
          <w:szCs w:val="32"/>
          <w:highlight w:val="none"/>
          <w:lang w:val="en-US" w:eastAsia="zh-CN"/>
        </w:rPr>
        <w:t>附表2 城区农村生活污水治理重点区域情况一览表</w:t>
      </w:r>
      <w:bookmarkEnd w:id="335"/>
    </w:p>
    <w:tbl>
      <w:tblPr>
        <w:tblStyle w:val="20"/>
        <w:tblW w:w="5323"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70"/>
        <w:gridCol w:w="2263"/>
        <w:gridCol w:w="3813"/>
        <w:gridCol w:w="1068"/>
        <w:gridCol w:w="1068"/>
        <w:gridCol w:w="1068"/>
        <w:gridCol w:w="1068"/>
        <w:gridCol w:w="1068"/>
        <w:gridCol w:w="1068"/>
        <w:gridCol w:w="10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1349" w:hRule="atLeast"/>
          <w:jc w:val="center"/>
        </w:trPr>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编号</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重点区域类别</w:t>
            </w: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重点区域名称</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sz w:val="21"/>
                <w:szCs w:val="21"/>
                <w:u w:val="none"/>
                <w:lang w:val="en-US" w:eastAsia="zh-CN"/>
              </w:rPr>
              <w:t>东涌镇</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捷胜镇</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红草镇</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马宫街道</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凤山街道</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香洲街道</w:t>
            </w: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新港街道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jc w:val="center"/>
        </w:trPr>
        <w:tc>
          <w:tcPr>
            <w:tcW w:w="268"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1</w:t>
            </w:r>
          </w:p>
        </w:tc>
        <w:tc>
          <w:tcPr>
            <w:tcW w:w="78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饮用水源保护区</w:t>
            </w: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lang w:val="en-US" w:eastAsia="zh-CN"/>
              </w:rPr>
            </w:pPr>
            <w:r>
              <w:rPr>
                <w:rFonts w:hint="eastAsia" w:ascii="仿宋_GB2312" w:hAnsi="仿宋_GB2312" w:eastAsia="仿宋_GB2312" w:cs="仿宋_GB2312"/>
                <w:b w:val="0"/>
                <w:bCs w:val="0"/>
                <w:i w:val="0"/>
                <w:iCs w:val="0"/>
                <w:color w:val="000000"/>
                <w:sz w:val="21"/>
                <w:szCs w:val="21"/>
                <w:u w:val="none"/>
                <w:lang w:val="en-US" w:eastAsia="zh-CN"/>
              </w:rPr>
              <w:t>公平管渠－赤沙水库饮用水水源保护区</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jc w:val="center"/>
        </w:trPr>
        <w:tc>
          <w:tcPr>
            <w:tcW w:w="268" w:type="pct"/>
            <w:vMerge w:val="continue"/>
            <w:tcBorders>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bCs/>
                <w:sz w:val="21"/>
                <w:szCs w:val="21"/>
              </w:rPr>
            </w:pPr>
          </w:p>
        </w:tc>
        <w:tc>
          <w:tcPr>
            <w:tcW w:w="789"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sz w:val="21"/>
                <w:szCs w:val="21"/>
              </w:rPr>
            </w:pP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宝楼水库饮用水水源保护区</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98" w:hRule="atLeast"/>
          <w:jc w:val="center"/>
        </w:trPr>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2</w:t>
            </w:r>
          </w:p>
        </w:tc>
        <w:tc>
          <w:tcPr>
            <w:tcW w:w="78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人口规模较大的村庄</w:t>
            </w: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b w:val="0"/>
                <w:bCs w:val="0"/>
                <w:i w:val="0"/>
                <w:iCs w:val="0"/>
                <w:color w:val="000000"/>
                <w:kern w:val="0"/>
                <w:sz w:val="21"/>
                <w:szCs w:val="21"/>
                <w:u w:val="none"/>
                <w:lang w:val="en-US" w:eastAsia="zh-CN" w:bidi="ar"/>
              </w:rPr>
              <w:t>常住人口1000人以上</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8</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sz w:val="21"/>
                <w:szCs w:val="21"/>
                <w:u w:val="none"/>
                <w:lang w:val="en-US" w:eastAsia="zh-CN"/>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98" w:hRule="atLeast"/>
          <w:jc w:val="center"/>
        </w:trPr>
        <w:tc>
          <w:tcPr>
            <w:tcW w:w="268"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3</w:t>
            </w:r>
          </w:p>
        </w:tc>
        <w:tc>
          <w:tcPr>
            <w:tcW w:w="78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乡村振兴风貌带</w:t>
            </w: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lang w:val="en-US" w:eastAsia="zh-CN"/>
              </w:rPr>
            </w:pPr>
            <w:r>
              <w:rPr>
                <w:rFonts w:hint="eastAsia" w:ascii="仿宋_GB2312" w:hAnsi="仿宋_GB2312" w:eastAsia="仿宋_GB2312" w:cs="仿宋_GB2312"/>
                <w:b w:val="0"/>
                <w:bCs w:val="0"/>
                <w:i w:val="0"/>
                <w:iCs w:val="0"/>
                <w:color w:val="000000"/>
                <w:sz w:val="21"/>
                <w:szCs w:val="21"/>
                <w:u w:val="none"/>
                <w:lang w:eastAsia="zh-CN"/>
              </w:rPr>
              <w:t>“</w:t>
            </w:r>
            <w:r>
              <w:rPr>
                <w:rFonts w:hint="eastAsia" w:ascii="仿宋_GB2312" w:hAnsi="仿宋_GB2312" w:eastAsia="仿宋_GB2312" w:cs="仿宋_GB2312"/>
                <w:b w:val="0"/>
                <w:bCs w:val="0"/>
                <w:i w:val="0"/>
                <w:iCs w:val="0"/>
                <w:color w:val="000000"/>
                <w:sz w:val="21"/>
                <w:szCs w:val="21"/>
                <w:u w:val="none"/>
                <w:lang w:val="en-US" w:eastAsia="zh-CN"/>
              </w:rPr>
              <w:t>蚝情万丈</w:t>
            </w:r>
            <w:r>
              <w:rPr>
                <w:rFonts w:hint="eastAsia" w:ascii="仿宋_GB2312" w:hAnsi="仿宋_GB2312" w:eastAsia="仿宋_GB2312" w:cs="仿宋_GB2312"/>
                <w:b w:val="0"/>
                <w:bCs w:val="0"/>
                <w:i w:val="0"/>
                <w:iCs w:val="0"/>
                <w:color w:val="000000"/>
                <w:sz w:val="21"/>
                <w:szCs w:val="21"/>
                <w:u w:val="none"/>
                <w:lang w:eastAsia="zh-CN"/>
              </w:rPr>
              <w:t>”</w:t>
            </w:r>
            <w:r>
              <w:rPr>
                <w:rFonts w:hint="eastAsia" w:ascii="仿宋_GB2312" w:hAnsi="仿宋_GB2312" w:eastAsia="仿宋_GB2312" w:cs="仿宋_GB2312"/>
                <w:b w:val="0"/>
                <w:bCs w:val="0"/>
                <w:i w:val="0"/>
                <w:iCs w:val="0"/>
                <w:color w:val="000000"/>
                <w:sz w:val="21"/>
                <w:szCs w:val="21"/>
                <w:u w:val="none"/>
                <w:lang w:val="en-US" w:eastAsia="zh-CN"/>
              </w:rPr>
              <w:t>景观示范带</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3</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jc w:val="center"/>
        </w:trPr>
        <w:tc>
          <w:tcPr>
            <w:tcW w:w="268" w:type="pct"/>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sz w:val="21"/>
                <w:szCs w:val="21"/>
              </w:rPr>
            </w:pPr>
          </w:p>
        </w:tc>
        <w:tc>
          <w:tcPr>
            <w:tcW w:w="789" w:type="pct"/>
            <w:vMerge w:val="continue"/>
            <w:tcBorders>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sz w:val="21"/>
                <w:szCs w:val="21"/>
              </w:rPr>
            </w:pP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“生态农旅”景观示范带</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jc w:val="center"/>
        </w:trPr>
        <w:tc>
          <w:tcPr>
            <w:tcW w:w="268"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p>
        </w:tc>
        <w:tc>
          <w:tcPr>
            <w:tcW w:w="789"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kern w:val="0"/>
                <w:sz w:val="21"/>
                <w:szCs w:val="21"/>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“黄江画卷 水乡风情”乡村振兴示范带</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98" w:hRule="atLeast"/>
          <w:jc w:val="center"/>
        </w:trPr>
        <w:tc>
          <w:tcPr>
            <w:tcW w:w="2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bCs/>
                <w:i w:val="0"/>
                <w:iCs w:val="0"/>
                <w:color w:val="000000"/>
                <w:sz w:val="21"/>
                <w:szCs w:val="21"/>
                <w:u w:val="none"/>
              </w:rPr>
            </w:pPr>
          </w:p>
        </w:tc>
        <w:tc>
          <w:tcPr>
            <w:tcW w:w="7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lang w:val="en-US" w:eastAsia="zh-CN"/>
              </w:rPr>
            </w:pPr>
            <w:r>
              <w:rPr>
                <w:rFonts w:hint="eastAsia" w:ascii="仿宋_GB2312" w:hAnsi="仿宋_GB2312" w:eastAsia="仿宋_GB2312" w:cs="仿宋_GB2312"/>
                <w:b w:val="0"/>
                <w:bCs w:val="0"/>
                <w:i w:val="0"/>
                <w:iCs w:val="0"/>
                <w:color w:val="000000"/>
                <w:sz w:val="21"/>
                <w:szCs w:val="21"/>
                <w:u w:val="none"/>
                <w:lang w:eastAsia="zh-CN"/>
              </w:rPr>
              <w:t>“</w:t>
            </w:r>
            <w:r>
              <w:rPr>
                <w:rFonts w:hint="eastAsia" w:ascii="仿宋_GB2312" w:hAnsi="仿宋_GB2312" w:eastAsia="仿宋_GB2312" w:cs="仿宋_GB2312"/>
                <w:b w:val="0"/>
                <w:bCs w:val="0"/>
                <w:i w:val="0"/>
                <w:iCs w:val="0"/>
                <w:color w:val="000000"/>
                <w:sz w:val="21"/>
                <w:szCs w:val="21"/>
                <w:u w:val="none"/>
                <w:lang w:val="en-US" w:eastAsia="zh-CN"/>
              </w:rPr>
              <w:t>花果原乡</w:t>
            </w:r>
            <w:r>
              <w:rPr>
                <w:rFonts w:hint="eastAsia" w:ascii="仿宋_GB2312" w:hAnsi="仿宋_GB2312" w:eastAsia="仿宋_GB2312" w:cs="仿宋_GB2312"/>
                <w:b w:val="0"/>
                <w:bCs w:val="0"/>
                <w:i w:val="0"/>
                <w:iCs w:val="0"/>
                <w:color w:val="000000"/>
                <w:sz w:val="21"/>
                <w:szCs w:val="21"/>
                <w:u w:val="none"/>
                <w:lang w:eastAsia="zh-CN"/>
              </w:rPr>
              <w:t>”</w:t>
            </w:r>
            <w:r>
              <w:rPr>
                <w:rFonts w:hint="eastAsia" w:ascii="仿宋_GB2312" w:hAnsi="仿宋_GB2312" w:eastAsia="仿宋_GB2312" w:cs="仿宋_GB2312"/>
                <w:b w:val="0"/>
                <w:bCs w:val="0"/>
                <w:i w:val="0"/>
                <w:iCs w:val="0"/>
                <w:color w:val="000000"/>
                <w:sz w:val="21"/>
                <w:szCs w:val="21"/>
                <w:u w:val="none"/>
                <w:lang w:val="en-US" w:eastAsia="zh-CN"/>
              </w:rPr>
              <w:t>乡村振兴示范带</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12</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98" w:hRule="atLeast"/>
          <w:jc w:val="center"/>
        </w:trPr>
        <w:tc>
          <w:tcPr>
            <w:tcW w:w="26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4</w:t>
            </w:r>
          </w:p>
        </w:tc>
        <w:tc>
          <w:tcPr>
            <w:tcW w:w="78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重要河流沿岸</w:t>
            </w: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b w:val="0"/>
                <w:bCs w:val="0"/>
                <w:i w:val="0"/>
                <w:iCs w:val="0"/>
                <w:color w:val="000000"/>
                <w:kern w:val="0"/>
                <w:sz w:val="21"/>
                <w:szCs w:val="21"/>
                <w:u w:val="none"/>
                <w:lang w:val="en-US" w:eastAsia="zh-CN" w:bidi="ar"/>
              </w:rPr>
              <w:t>黄江</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23</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sz w:val="21"/>
                <w:szCs w:val="21"/>
                <w:u w:val="none"/>
                <w:lang w:val="en-US" w:eastAsia="zh-CN"/>
              </w:rPr>
              <w:t>5</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98" w:hRule="atLeast"/>
          <w:jc w:val="center"/>
        </w:trPr>
        <w:tc>
          <w:tcPr>
            <w:tcW w:w="26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78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13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b w:val="0"/>
                <w:bCs w:val="0"/>
                <w:i w:val="0"/>
                <w:iCs w:val="0"/>
                <w:color w:val="000000"/>
                <w:kern w:val="0"/>
                <w:sz w:val="21"/>
                <w:szCs w:val="21"/>
                <w:u w:val="none"/>
                <w:lang w:val="en-US" w:eastAsia="zh-CN" w:bidi="ar"/>
              </w:rPr>
              <w:t>品清湖</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19</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sz w:val="21"/>
                <w:szCs w:val="21"/>
                <w:u w:val="none"/>
                <w:lang w:val="en-US" w:eastAsia="zh-CN"/>
              </w:rPr>
              <w:t>1</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lang w:eastAsia="zh-CN"/>
              </w:rPr>
            </w:pPr>
            <w:r>
              <w:rPr>
                <w:rFonts w:hint="eastAsia" w:ascii="仿宋_GB2312" w:hAnsi="仿宋_GB2312" w:eastAsia="仿宋_GB2312" w:cs="仿宋_GB2312"/>
                <w:i w:val="0"/>
                <w:iCs w:val="0"/>
                <w:color w:val="000000"/>
                <w:sz w:val="21"/>
                <w:szCs w:val="21"/>
                <w:u w:val="none"/>
                <w:lang w:val="en-US"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7" w:hRule="atLeast"/>
          <w:jc w:val="center"/>
        </w:trPr>
        <w:tc>
          <w:tcPr>
            <w:tcW w:w="2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5</w:t>
            </w:r>
          </w:p>
        </w:tc>
        <w:tc>
          <w:tcPr>
            <w:tcW w:w="21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合计（扣除重复）</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32</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4</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25</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7</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sz w:val="21"/>
                <w:szCs w:val="21"/>
                <w:u w:val="none"/>
                <w:lang w:val="en-US" w:eastAsia="zh-CN"/>
              </w:rPr>
              <w:t>1</w:t>
            </w:r>
          </w:p>
        </w:tc>
        <w:tc>
          <w:tcPr>
            <w:tcW w:w="3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sz w:val="21"/>
                <w:szCs w:val="21"/>
                <w:u w:val="none"/>
                <w:lang w:val="en-US" w:eastAsia="zh-CN"/>
              </w:rPr>
              <w:t>3</w:t>
            </w:r>
          </w:p>
        </w:tc>
      </w:tr>
    </w:tbl>
    <w:p>
      <w:pPr>
        <w:rPr>
          <w:rFonts w:hint="default"/>
          <w:lang w:val="en-US" w:eastAsia="zh-CN"/>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120" w:after="120" w:line="360" w:lineRule="auto"/>
        <w:jc w:val="center"/>
        <w:textAlignment w:val="auto"/>
        <w:rPr>
          <w:rFonts w:hint="eastAsia" w:ascii="方正小标宋简体" w:hAnsi="方正小标宋简体" w:eastAsia="方正小标宋简体" w:cs="方正小标宋简体"/>
          <w:b w:val="0"/>
          <w:bCs w:val="0"/>
          <w:sz w:val="32"/>
          <w:szCs w:val="32"/>
          <w:highlight w:val="none"/>
          <w:lang w:val="en-US" w:eastAsia="zh-CN"/>
        </w:rPr>
      </w:pPr>
      <w:bookmarkStart w:id="336" w:name="_Toc31867"/>
      <w:r>
        <w:rPr>
          <w:rFonts w:hint="eastAsia" w:ascii="方正小标宋简体" w:hAnsi="方正小标宋简体" w:eastAsia="方正小标宋简体" w:cs="方正小标宋简体"/>
          <w:b w:val="0"/>
          <w:bCs w:val="0"/>
          <w:sz w:val="32"/>
          <w:szCs w:val="32"/>
          <w:highlight w:val="none"/>
          <w:lang w:val="en-US" w:eastAsia="zh-CN"/>
        </w:rPr>
        <w:t>附表3 城区农村生活污水一村一策治理台账</w:t>
      </w:r>
      <w:bookmarkEnd w:id="336"/>
    </w:p>
    <w:tbl>
      <w:tblPr>
        <w:tblStyle w:val="21"/>
        <w:tblW w:w="23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4"/>
        <w:gridCol w:w="917"/>
        <w:gridCol w:w="900"/>
        <w:gridCol w:w="883"/>
        <w:gridCol w:w="650"/>
        <w:gridCol w:w="800"/>
        <w:gridCol w:w="795"/>
        <w:gridCol w:w="705"/>
        <w:gridCol w:w="668"/>
        <w:gridCol w:w="1358"/>
        <w:gridCol w:w="1537"/>
        <w:gridCol w:w="1566"/>
        <w:gridCol w:w="917"/>
        <w:gridCol w:w="1254"/>
        <w:gridCol w:w="667"/>
        <w:gridCol w:w="1117"/>
        <w:gridCol w:w="679"/>
        <w:gridCol w:w="650"/>
        <w:gridCol w:w="916"/>
        <w:gridCol w:w="984"/>
        <w:gridCol w:w="900"/>
        <w:gridCol w:w="683"/>
        <w:gridCol w:w="900"/>
        <w:gridCol w:w="2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04"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序号</w:t>
            </w:r>
          </w:p>
        </w:tc>
        <w:tc>
          <w:tcPr>
            <w:tcW w:w="917"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镇街</w:t>
            </w:r>
          </w:p>
        </w:tc>
        <w:tc>
          <w:tcPr>
            <w:tcW w:w="900"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行政村</w:t>
            </w:r>
          </w:p>
        </w:tc>
        <w:tc>
          <w:tcPr>
            <w:tcW w:w="883"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自然村</w:t>
            </w:r>
          </w:p>
        </w:tc>
        <w:tc>
          <w:tcPr>
            <w:tcW w:w="650"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户籍</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户数</w:t>
            </w:r>
          </w:p>
        </w:tc>
        <w:tc>
          <w:tcPr>
            <w:tcW w:w="800"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户籍</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人口</w:t>
            </w:r>
          </w:p>
        </w:tc>
        <w:tc>
          <w:tcPr>
            <w:tcW w:w="795"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常住</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人口</w:t>
            </w:r>
          </w:p>
        </w:tc>
        <w:tc>
          <w:tcPr>
            <w:tcW w:w="705"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人口</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聚集</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程度</w:t>
            </w:r>
          </w:p>
        </w:tc>
        <w:tc>
          <w:tcPr>
            <w:tcW w:w="668"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治理</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现状</w:t>
            </w:r>
          </w:p>
        </w:tc>
        <w:tc>
          <w:tcPr>
            <w:tcW w:w="1358"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治理模式</w:t>
            </w:r>
          </w:p>
        </w:tc>
        <w:tc>
          <w:tcPr>
            <w:tcW w:w="4020" w:type="dxa"/>
            <w:gridSpan w:val="3"/>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纳厂模式</w:t>
            </w:r>
          </w:p>
        </w:tc>
        <w:tc>
          <w:tcPr>
            <w:tcW w:w="3038" w:type="dxa"/>
            <w:gridSpan w:val="3"/>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建设设施模式</w:t>
            </w:r>
          </w:p>
        </w:tc>
        <w:tc>
          <w:tcPr>
            <w:tcW w:w="2245" w:type="dxa"/>
            <w:gridSpan w:val="3"/>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资源化利用模式</w:t>
            </w:r>
          </w:p>
        </w:tc>
        <w:tc>
          <w:tcPr>
            <w:tcW w:w="984"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建设资金估算</w:t>
            </w:r>
          </w:p>
        </w:tc>
        <w:tc>
          <w:tcPr>
            <w:tcW w:w="1583" w:type="dxa"/>
            <w:gridSpan w:val="2"/>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重点区域情况</w:t>
            </w:r>
          </w:p>
        </w:tc>
        <w:tc>
          <w:tcPr>
            <w:tcW w:w="900" w:type="dxa"/>
            <w:vMerge w:val="restart"/>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（拟）完成治理时间</w:t>
            </w:r>
          </w:p>
        </w:tc>
        <w:tc>
          <w:tcPr>
            <w:tcW w:w="2424" w:type="dxa"/>
            <w:vMerge w:val="restart"/>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604" w:type="dxa"/>
            <w:vMerge w:val="continue"/>
            <w:vAlign w:val="center"/>
          </w:tcPr>
          <w:p>
            <w:pPr>
              <w:jc w:val="center"/>
              <w:rPr>
                <w:rFonts w:hint="eastAsia" w:ascii="仿宋_GB2312" w:hAnsi="仿宋_GB2312" w:eastAsia="仿宋_GB2312" w:cs="仿宋_GB2312"/>
                <w:sz w:val="21"/>
                <w:szCs w:val="21"/>
              </w:rPr>
            </w:pPr>
          </w:p>
        </w:tc>
        <w:tc>
          <w:tcPr>
            <w:tcW w:w="917" w:type="dxa"/>
            <w:vMerge w:val="continue"/>
            <w:vAlign w:val="center"/>
          </w:tcPr>
          <w:p>
            <w:pPr>
              <w:jc w:val="center"/>
              <w:rPr>
                <w:rFonts w:hint="eastAsia" w:ascii="仿宋_GB2312" w:hAnsi="仿宋_GB2312" w:eastAsia="仿宋_GB2312" w:cs="仿宋_GB2312"/>
                <w:sz w:val="21"/>
                <w:szCs w:val="21"/>
              </w:rPr>
            </w:pPr>
          </w:p>
        </w:tc>
        <w:tc>
          <w:tcPr>
            <w:tcW w:w="900" w:type="dxa"/>
            <w:vMerge w:val="continue"/>
            <w:vAlign w:val="center"/>
          </w:tcPr>
          <w:p>
            <w:pPr>
              <w:jc w:val="center"/>
              <w:rPr>
                <w:rFonts w:hint="eastAsia" w:ascii="仿宋_GB2312" w:hAnsi="仿宋_GB2312" w:eastAsia="仿宋_GB2312" w:cs="仿宋_GB2312"/>
                <w:sz w:val="21"/>
                <w:szCs w:val="21"/>
              </w:rPr>
            </w:pPr>
          </w:p>
        </w:tc>
        <w:tc>
          <w:tcPr>
            <w:tcW w:w="883" w:type="dxa"/>
            <w:vMerge w:val="continue"/>
            <w:vAlign w:val="center"/>
          </w:tcPr>
          <w:p>
            <w:pPr>
              <w:jc w:val="center"/>
              <w:rPr>
                <w:rFonts w:hint="eastAsia" w:ascii="仿宋_GB2312" w:hAnsi="仿宋_GB2312" w:eastAsia="仿宋_GB2312" w:cs="仿宋_GB2312"/>
                <w:sz w:val="21"/>
                <w:szCs w:val="21"/>
              </w:rPr>
            </w:pPr>
          </w:p>
        </w:tc>
        <w:tc>
          <w:tcPr>
            <w:tcW w:w="650" w:type="dxa"/>
            <w:vMerge w:val="continue"/>
            <w:vAlign w:val="center"/>
          </w:tcPr>
          <w:p>
            <w:pPr>
              <w:jc w:val="center"/>
              <w:rPr>
                <w:rFonts w:hint="eastAsia" w:ascii="仿宋_GB2312" w:hAnsi="仿宋_GB2312" w:eastAsia="仿宋_GB2312" w:cs="仿宋_GB2312"/>
                <w:sz w:val="21"/>
                <w:szCs w:val="21"/>
              </w:rPr>
            </w:pPr>
          </w:p>
        </w:tc>
        <w:tc>
          <w:tcPr>
            <w:tcW w:w="800" w:type="dxa"/>
            <w:vMerge w:val="continue"/>
            <w:vAlign w:val="center"/>
          </w:tcPr>
          <w:p>
            <w:pPr>
              <w:jc w:val="center"/>
              <w:rPr>
                <w:rFonts w:hint="eastAsia" w:ascii="仿宋_GB2312" w:hAnsi="仿宋_GB2312" w:eastAsia="仿宋_GB2312" w:cs="仿宋_GB2312"/>
                <w:sz w:val="21"/>
                <w:szCs w:val="21"/>
              </w:rPr>
            </w:pPr>
          </w:p>
        </w:tc>
        <w:tc>
          <w:tcPr>
            <w:tcW w:w="795" w:type="dxa"/>
            <w:vMerge w:val="continue"/>
            <w:vAlign w:val="center"/>
          </w:tcPr>
          <w:p>
            <w:pPr>
              <w:jc w:val="center"/>
              <w:rPr>
                <w:rFonts w:hint="eastAsia" w:ascii="仿宋_GB2312" w:hAnsi="仿宋_GB2312" w:eastAsia="仿宋_GB2312" w:cs="仿宋_GB2312"/>
                <w:sz w:val="21"/>
                <w:szCs w:val="21"/>
              </w:rPr>
            </w:pPr>
          </w:p>
        </w:tc>
        <w:tc>
          <w:tcPr>
            <w:tcW w:w="705" w:type="dxa"/>
            <w:vMerge w:val="continue"/>
            <w:vAlign w:val="center"/>
          </w:tcPr>
          <w:p>
            <w:pPr>
              <w:jc w:val="center"/>
              <w:rPr>
                <w:rFonts w:hint="eastAsia" w:ascii="仿宋_GB2312" w:hAnsi="仿宋_GB2312" w:eastAsia="仿宋_GB2312" w:cs="仿宋_GB2312"/>
                <w:sz w:val="21"/>
                <w:szCs w:val="21"/>
              </w:rPr>
            </w:pPr>
          </w:p>
        </w:tc>
        <w:tc>
          <w:tcPr>
            <w:tcW w:w="668" w:type="dxa"/>
            <w:vMerge w:val="continue"/>
            <w:vAlign w:val="center"/>
          </w:tcPr>
          <w:p>
            <w:pPr>
              <w:jc w:val="center"/>
              <w:rPr>
                <w:rFonts w:hint="eastAsia" w:ascii="仿宋_GB2312" w:hAnsi="仿宋_GB2312" w:eastAsia="仿宋_GB2312" w:cs="仿宋_GB2312"/>
                <w:sz w:val="21"/>
                <w:szCs w:val="21"/>
              </w:rPr>
            </w:pPr>
          </w:p>
        </w:tc>
        <w:tc>
          <w:tcPr>
            <w:tcW w:w="1358" w:type="dxa"/>
            <w:vMerge w:val="continue"/>
            <w:vAlign w:val="center"/>
          </w:tcPr>
          <w:p>
            <w:pPr>
              <w:jc w:val="center"/>
              <w:rPr>
                <w:rFonts w:hint="eastAsia" w:ascii="仿宋_GB2312" w:hAnsi="仿宋_GB2312" w:eastAsia="仿宋_GB2312" w:cs="仿宋_GB2312"/>
                <w:sz w:val="21"/>
                <w:szCs w:val="21"/>
              </w:rPr>
            </w:pPr>
          </w:p>
        </w:tc>
        <w:tc>
          <w:tcPr>
            <w:tcW w:w="1537"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（拟）纳入的城镇污水处理厂</w:t>
            </w:r>
          </w:p>
        </w:tc>
        <w:tc>
          <w:tcPr>
            <w:tcW w:w="1566"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（拟）纳入的城镇污水处理厂运行状态</w:t>
            </w:r>
          </w:p>
        </w:tc>
        <w:tc>
          <w:tcPr>
            <w:tcW w:w="917"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（拟）</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建成</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年份</w:t>
            </w:r>
          </w:p>
        </w:tc>
        <w:tc>
          <w:tcPr>
            <w:tcW w:w="1254"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（拟）采用治理工艺</w:t>
            </w:r>
          </w:p>
        </w:tc>
        <w:tc>
          <w:tcPr>
            <w:tcW w:w="667"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设施</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规模</w:t>
            </w:r>
          </w:p>
        </w:tc>
        <w:tc>
          <w:tcPr>
            <w:tcW w:w="1117"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设施运转情况</w:t>
            </w:r>
          </w:p>
        </w:tc>
        <w:tc>
          <w:tcPr>
            <w:tcW w:w="679"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资源化模式</w:t>
            </w:r>
          </w:p>
        </w:tc>
        <w:tc>
          <w:tcPr>
            <w:tcW w:w="650"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是否</w:t>
            </w:r>
          </w:p>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完成</w:t>
            </w:r>
          </w:p>
        </w:tc>
        <w:tc>
          <w:tcPr>
            <w:tcW w:w="916"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受纳体形式</w:t>
            </w:r>
          </w:p>
        </w:tc>
        <w:tc>
          <w:tcPr>
            <w:tcW w:w="984" w:type="dxa"/>
            <w:vMerge w:val="continue"/>
            <w:vAlign w:val="center"/>
          </w:tcPr>
          <w:p>
            <w:pPr>
              <w:jc w:val="center"/>
              <w:rPr>
                <w:rFonts w:hint="eastAsia" w:ascii="仿宋_GB2312" w:hAnsi="仿宋_GB2312" w:eastAsia="仿宋_GB2312" w:cs="仿宋_GB2312"/>
                <w:b/>
                <w:bCs/>
                <w:sz w:val="21"/>
                <w:szCs w:val="21"/>
                <w:vertAlign w:val="baseline"/>
                <w:lang w:val="en-US" w:eastAsia="zh-CN"/>
              </w:rPr>
            </w:pPr>
          </w:p>
        </w:tc>
        <w:tc>
          <w:tcPr>
            <w:tcW w:w="900"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是否位于重点区域</w:t>
            </w:r>
          </w:p>
        </w:tc>
        <w:tc>
          <w:tcPr>
            <w:tcW w:w="683" w:type="dxa"/>
            <w:vAlign w:val="center"/>
          </w:tcPr>
          <w:p>
            <w:pPr>
              <w:jc w:val="center"/>
              <w:rPr>
                <w:rFonts w:hint="eastAsia" w:ascii="仿宋_GB2312" w:hAnsi="仿宋_GB2312" w:eastAsia="仿宋_GB2312" w:cs="仿宋_GB2312"/>
                <w:b/>
                <w:bCs/>
                <w:sz w:val="21"/>
                <w:szCs w:val="21"/>
                <w:vertAlign w:val="baseline"/>
                <w:lang w:val="en-US" w:eastAsia="zh-CN"/>
              </w:rPr>
            </w:pPr>
            <w:r>
              <w:rPr>
                <w:rFonts w:hint="eastAsia" w:ascii="仿宋_GB2312" w:hAnsi="仿宋_GB2312" w:eastAsia="仿宋_GB2312" w:cs="仿宋_GB2312"/>
                <w:b/>
                <w:bCs/>
                <w:sz w:val="21"/>
                <w:szCs w:val="21"/>
                <w:vertAlign w:val="baseline"/>
                <w:lang w:val="en-US" w:eastAsia="zh-CN"/>
              </w:rPr>
              <w:t>重点区域类型</w:t>
            </w:r>
          </w:p>
        </w:tc>
        <w:tc>
          <w:tcPr>
            <w:tcW w:w="90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242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bookmarkStart w:id="337" w:name="OLE_LINK17" w:colFirst="8" w:colLast="9"/>
            <w:r>
              <w:rPr>
                <w:rFonts w:hint="eastAsia" w:ascii="仿宋_GB2312" w:hAnsi="仿宋_GB2312" w:eastAsia="仿宋_GB2312" w:cs="仿宋_GB2312"/>
                <w:i w:val="0"/>
                <w:iCs w:val="0"/>
                <w:color w:val="000000"/>
                <w:kern w:val="0"/>
                <w:sz w:val="21"/>
                <w:szCs w:val="21"/>
                <w:u w:val="none"/>
                <w:lang w:val="en-US" w:eastAsia="zh-CN" w:bidi="ar"/>
              </w:rPr>
              <w:t>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青山村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石牌</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46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229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bookmarkStart w:id="338" w:name="OLE_LINK5"/>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bookmarkEnd w:id="338"/>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561000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青山村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楼星</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382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39" w:name="OLE_LINK18"/>
            <w:r>
              <w:rPr>
                <w:rFonts w:hint="eastAsia" w:ascii="仿宋_GB2312" w:hAnsi="仿宋_GB2312" w:eastAsia="仿宋_GB2312" w:cs="仿宋_GB2312"/>
                <w:i w:val="0"/>
                <w:iCs w:val="0"/>
                <w:color w:val="000000"/>
                <w:kern w:val="0"/>
                <w:sz w:val="21"/>
                <w:szCs w:val="21"/>
                <w:u w:val="none"/>
                <w:lang w:val="en-US" w:eastAsia="zh-CN" w:bidi="ar"/>
              </w:rPr>
              <w:t>未治理</w:t>
            </w:r>
            <w:bookmarkEnd w:id="339"/>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2101000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青山村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曾厝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368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0" w:name="OLE_LINK19"/>
            <w:r>
              <w:rPr>
                <w:rFonts w:hint="eastAsia" w:ascii="仿宋_GB2312" w:hAnsi="仿宋_GB2312" w:eastAsia="仿宋_GB2312" w:cs="仿宋_GB2312"/>
                <w:i w:val="0"/>
                <w:iCs w:val="0"/>
                <w:color w:val="000000"/>
                <w:kern w:val="0"/>
                <w:sz w:val="21"/>
                <w:szCs w:val="21"/>
                <w:u w:val="none"/>
                <w:lang w:val="en-US" w:eastAsia="zh-CN" w:bidi="ar"/>
              </w:rPr>
              <w:t>未治理</w:t>
            </w:r>
            <w:bookmarkEnd w:id="340"/>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1017500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青山村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南洋</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1246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616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三和村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水陂</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2475000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三和村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头寮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1573000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1" w:name="OLE_LINK6"/>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bookmarkEnd w:id="34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三和村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大寮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334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1708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550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2495625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仅接入了少量住户生活污水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仁盛</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2640000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夏村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1163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881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3634125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接户管不足，仅接入了沿马路边住户生活污水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1265000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东宫</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1329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5390000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竹围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1538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1089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5989500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径口村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金凤池</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263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径口村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275000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因红镇高新区征地原因，市政管网与污水处理厂尚未接通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径口村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田中央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623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径口村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径口</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亚洲村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亚洲</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427</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1</w:t>
            </w: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否</w:t>
            </w: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101400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2023年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常住人口较少，拟采用资源化利用模式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927657.5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512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1337600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桂星</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217140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西二</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504927.5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西三</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557260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三联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237</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459635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2" w:name="OLE_LINK7"/>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bookmarkEnd w:id="34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西门</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620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1875500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桥余</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398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381810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新町</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394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450450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桥吴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808500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868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674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2298340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二村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2405700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三村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1222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941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2898280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四村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839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1322062.5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1335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990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2450250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3" w:name="OLE_LINK8"/>
            <w:r>
              <w:rPr>
                <w:rFonts w:hint="eastAsia" w:ascii="仿宋_GB2312" w:hAnsi="仿宋_GB2312" w:eastAsia="仿宋_GB2312" w:cs="仿宋_GB2312"/>
                <w:i w:val="0"/>
                <w:iCs w:val="0"/>
                <w:color w:val="000000"/>
                <w:kern w:val="0"/>
                <w:sz w:val="21"/>
                <w:szCs w:val="21"/>
                <w:u w:val="none"/>
                <w:lang w:val="en-US" w:eastAsia="zh-CN" w:bidi="ar"/>
              </w:rPr>
              <w:t>需提升改造</w:t>
            </w:r>
            <w:bookmarkEnd w:id="34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六村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543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1164735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七村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1624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1207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2024742.5</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八村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汕尾高新区红草园区综合污水处理厂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2016年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662750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4" w:name="OLE_LINK9"/>
            <w:r>
              <w:rPr>
                <w:rFonts w:hint="eastAsia" w:ascii="仿宋_GB2312" w:hAnsi="仿宋_GB2312" w:eastAsia="仿宋_GB2312" w:cs="仿宋_GB2312"/>
                <w:i w:val="0"/>
                <w:iCs w:val="0"/>
                <w:color w:val="000000"/>
                <w:kern w:val="0"/>
                <w:sz w:val="21"/>
                <w:szCs w:val="21"/>
                <w:u w:val="none"/>
                <w:lang w:val="en-US" w:eastAsia="zh-CN" w:bidi="ar"/>
              </w:rPr>
              <w:t>需提升改造</w:t>
            </w:r>
            <w:bookmarkEnd w:id="34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春雅</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110880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春雅、上陂、坑美共用一座设施，需提升改造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上陂</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610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401940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坑美</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bookmarkStart w:id="345" w:name="OLE_LINK20"/>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bookmarkEnd w:id="345"/>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340560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bookmarkStart w:id="346" w:name="OLE_LINK23" w:colFirst="4" w:colLast="6"/>
            <w:r>
              <w:rPr>
                <w:rFonts w:hint="eastAsia" w:ascii="仿宋_GB2312" w:hAnsi="仿宋_GB2312" w:eastAsia="仿宋_GB2312" w:cs="仿宋_GB2312"/>
                <w:i w:val="0"/>
                <w:iCs w:val="0"/>
                <w:color w:val="000000"/>
                <w:kern w:val="0"/>
                <w:sz w:val="21"/>
                <w:szCs w:val="21"/>
                <w:highlight w:val="none"/>
                <w:u w:val="none"/>
                <w:lang w:val="en-US" w:eastAsia="zh-CN" w:bidi="ar"/>
              </w:rPr>
              <w:t>39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五雅村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吉坑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40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192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31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sz w:val="21"/>
                <w:szCs w:val="21"/>
                <w:highlight w:val="none"/>
                <w:vertAlign w:val="baseline"/>
                <w:lang w:val="en-US" w:eastAsia="zh-CN"/>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r>
      <w:bookmarkEnd w:id="34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光明村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梧厝埔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354750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横堂</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490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191400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横堂、后寮、东寮、大乡共用一座设施，已认定完成治理，但需提升改造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后寮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158400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510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259050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大乡</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768900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45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梧围村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大份</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142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64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AAO+BAF</w:t>
            </w:r>
          </w:p>
        </w:tc>
        <w:tc>
          <w:tcPr>
            <w:tcW w:w="66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352000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已建主管，污水拟接入梧围村设施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216150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竹山</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186450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竹山、前埔、后湾、新厝、中乡共用一座设施，需提升改造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420420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后湾</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590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434500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587730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中乡</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761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196350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新片</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381150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新片、前片共用一座设施，需提升改造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前片</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561000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后片</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667</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470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1395900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1218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1092300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洪流村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长富</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1303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1589940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洪流村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町前</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1501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682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1350360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石洲村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石洲</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2503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898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2074380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47" w:name="OLE_LINK10"/>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bookmarkEnd w:id="34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宝楼村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宝楼</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417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2194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397980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CF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新安村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流口</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3403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2721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新安村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青龙头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1976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1384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2740320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埔尾</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531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2265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建茶</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774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花树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176220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大船路</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未正常运转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203280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841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1071840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郭厝寮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1321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大塘美</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1132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未正常运转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198220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石奎</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未正常运转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149600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龙溪村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龙溪</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5200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新村和老村共建有两座设施，已认定完成治理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2402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14962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15064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24855600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湖田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871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2970110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桂青</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690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2352900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三联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833580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半寨</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394020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品清村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品清</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1282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7396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6487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石奎</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951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虎头兰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1198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860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100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2932600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C</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建有2座设施，处理规模均为50t/d。已认定完成治理，需提升改造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大园</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678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320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528000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C</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崎坑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115500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C</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大陂头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825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C</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新地村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3370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纳厂+建设设施</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部分接入市政管网，部分接入设施，已认定完成治理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赤古村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东赤</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bookmarkStart w:id="348" w:name="OLE_LINK11"/>
            <w:r>
              <w:rPr>
                <w:rFonts w:hint="eastAsia" w:ascii="仿宋_GB2312" w:hAnsi="仿宋_GB2312" w:eastAsia="仿宋_GB2312" w:cs="仿宋_GB2312"/>
                <w:i w:val="0"/>
                <w:iCs w:val="0"/>
                <w:color w:val="000000"/>
                <w:kern w:val="0"/>
                <w:sz w:val="21"/>
                <w:szCs w:val="21"/>
                <w:u w:val="none"/>
                <w:lang w:val="en-US" w:eastAsia="zh-CN" w:bidi="ar"/>
              </w:rPr>
              <w:t>已</w:t>
            </w:r>
            <w:bookmarkEnd w:id="348"/>
            <w:r>
              <w:rPr>
                <w:rFonts w:hint="eastAsia" w:ascii="仿宋_GB2312" w:hAnsi="仿宋_GB2312" w:eastAsia="仿宋_GB2312" w:cs="仿宋_GB2312"/>
                <w:i w:val="0"/>
                <w:iCs w:val="0"/>
                <w:color w:val="000000"/>
                <w:kern w:val="0"/>
                <w:sz w:val="21"/>
                <w:szCs w:val="21"/>
                <w:u w:val="none"/>
                <w:lang w:val="en-US" w:eastAsia="zh-CN" w:bidi="ar"/>
              </w:rPr>
              <w:t>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赤古村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东吴东朱共用一座设施，已认定完成治理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赤古村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东朱</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490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赤古村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东古</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1309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2548260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黄竹坑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sz w:val="21"/>
                <w:szCs w:val="21"/>
                <w:highlight w:val="none"/>
                <w:vertAlign w:val="baseline"/>
                <w:lang w:val="en-US" w:eastAsia="zh-CN"/>
              </w:rPr>
              <w:t>1</w:t>
            </w:r>
          </w:p>
        </w:tc>
        <w:tc>
          <w:tcPr>
            <w:tcW w:w="650" w:type="dxa"/>
            <w:vAlign w:val="center"/>
          </w:tcPr>
          <w:p>
            <w:pPr>
              <w:jc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sz w:val="21"/>
                <w:szCs w:val="21"/>
                <w:highlight w:val="none"/>
                <w:vertAlign w:val="baseline"/>
                <w:lang w:val="en-US" w:eastAsia="zh-CN"/>
              </w:rPr>
              <w:t>否</w:t>
            </w: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sz w:val="21"/>
                <w:szCs w:val="21"/>
                <w:highlight w:val="none"/>
                <w:vertAlign w:val="baseline"/>
                <w:lang w:val="en-US" w:eastAsia="zh-CN"/>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111200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村内消纳场地丰富环境无明显污染，拟采用资源化利用模式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许厝乡</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1</w:t>
            </w:r>
          </w:p>
        </w:tc>
        <w:tc>
          <w:tcPr>
            <w:tcW w:w="650"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否</w:t>
            </w:r>
          </w:p>
        </w:tc>
        <w:tc>
          <w:tcPr>
            <w:tcW w:w="916"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117800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村内消纳场地丰富环境无明显污染，拟采用资源化利用模式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后澳</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4</w:t>
            </w:r>
          </w:p>
        </w:tc>
        <w:tc>
          <w:tcPr>
            <w:tcW w:w="650"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否</w:t>
            </w:r>
          </w:p>
        </w:tc>
        <w:tc>
          <w:tcPr>
            <w:tcW w:w="916"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池塘</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101020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村内消纳场地丰富环境无明显污染，拟采用资源化利用模式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珠玛寮</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1</w:t>
            </w:r>
          </w:p>
        </w:tc>
        <w:tc>
          <w:tcPr>
            <w:tcW w:w="650"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否</w:t>
            </w:r>
          </w:p>
        </w:tc>
        <w:tc>
          <w:tcPr>
            <w:tcW w:w="916"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106200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村内消纳场地丰富环境无明显污染，拟采用资源化利用模式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鲎山</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4</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池塘</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贵子埔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1</w:t>
            </w:r>
          </w:p>
        </w:tc>
        <w:tc>
          <w:tcPr>
            <w:tcW w:w="650"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否</w:t>
            </w:r>
          </w:p>
        </w:tc>
        <w:tc>
          <w:tcPr>
            <w:tcW w:w="916" w:type="dxa"/>
            <w:vAlign w:val="center"/>
          </w:tcPr>
          <w:p>
            <w:pPr>
              <w:jc w:val="center"/>
              <w:rPr>
                <w:rFonts w:hint="eastAsia" w:ascii="仿宋_GB2312" w:hAnsi="仿宋_GB2312" w:eastAsia="仿宋_GB2312" w:cs="仿宋_GB2312"/>
                <w:kern w:val="2"/>
                <w:sz w:val="21"/>
                <w:szCs w:val="21"/>
                <w:highlight w:val="none"/>
                <w:vertAlign w:val="baseline"/>
                <w:lang w:val="en-US" w:eastAsia="zh-CN" w:bidi="ar-SA"/>
              </w:rPr>
            </w:pPr>
            <w:r>
              <w:rPr>
                <w:rFonts w:hint="eastAsia" w:ascii="仿宋_GB2312" w:hAnsi="仿宋_GB2312" w:eastAsia="仿宋_GB2312" w:cs="仿宋_GB2312"/>
                <w:sz w:val="21"/>
                <w:szCs w:val="21"/>
                <w:highlight w:val="none"/>
                <w:vertAlign w:val="baseline"/>
                <w:lang w:val="en-US" w:eastAsia="zh-CN"/>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105700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常住人口较少，拟采用资源化利用模式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东家冲</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140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950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665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1097250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红山</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145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820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574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947100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新湖村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定家声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115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680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478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聚集</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788700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南门外村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南门外</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3044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968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1597200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2718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660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1089000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联星村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联星</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1505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1485000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双湖</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池塘</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规划发展滨海旅游，后续拟结合发展规划改用建设设施模式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南门岗</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385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132000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大淋</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128700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577500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格塘</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447150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马鞍山</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114</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188100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大塘</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490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1347500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坣头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405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668250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沙角</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沙角尾</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2568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632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1042800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联安村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联安</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2788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1732500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大流村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大流</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3564000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埔尾</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2888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捷胜镇城镇污水处理厂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2020年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1650000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芴仔</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297000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芴仔、公顶共用一座设施，需提升改造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公顶</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247500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牛肚村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牛肚</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1452000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佛兰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19800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新兴、佛兰共用一座设施，已认定完成治理，需提升改造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286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74250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内坑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大富</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程厝</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大水沟</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594</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57750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bookmarkStart w:id="349" w:name="OLE_LINK12"/>
            <w:r>
              <w:rPr>
                <w:rFonts w:hint="eastAsia" w:ascii="仿宋_GB2312" w:hAnsi="仿宋_GB2312" w:eastAsia="仿宋_GB2312" w:cs="仿宋_GB2312"/>
                <w:i w:val="0"/>
                <w:iCs w:val="0"/>
                <w:color w:val="000000"/>
                <w:kern w:val="0"/>
                <w:sz w:val="21"/>
                <w:szCs w:val="21"/>
                <w:u w:val="none"/>
                <w:lang w:val="en-US" w:eastAsia="zh-CN" w:bidi="ar"/>
              </w:rPr>
              <w:t>需提升改造</w:t>
            </w:r>
            <w:bookmarkEnd w:id="349"/>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沙坑村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沙坑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1992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544500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440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3050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1633500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军船</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头村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军船头</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2535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1568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2587200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AF</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bookmarkStart w:id="350" w:name="OLE_LINK14"/>
            <w:r>
              <w:rPr>
                <w:rFonts w:hint="eastAsia" w:ascii="仿宋_GB2312" w:hAnsi="仿宋_GB2312" w:eastAsia="仿宋_GB2312" w:cs="仿宋_GB2312"/>
                <w:i w:val="0"/>
                <w:iCs w:val="0"/>
                <w:color w:val="000000"/>
                <w:kern w:val="0"/>
                <w:sz w:val="21"/>
                <w:szCs w:val="21"/>
                <w:u w:val="none"/>
                <w:lang w:val="en-US" w:eastAsia="zh-CN" w:bidi="ar"/>
              </w:rPr>
              <w:t>需提升改造</w:t>
            </w:r>
            <w:bookmarkEnd w:id="35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香洲街道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西洋村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西洋</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2009年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412500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香洲街道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梧桐村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梧桐</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1907</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1113</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2009年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1836450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125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小岛</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渔业村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小岛</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235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1308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281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w:t>
            </w: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该设施建设纳入汕尾市自然资源局蓝色海湾计划，目前设施在建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芦列坑村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601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厌氧+人工湿地</w:t>
            </w: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未正常运转</w:t>
            </w: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kern w:val="2"/>
                <w:sz w:val="21"/>
                <w:szCs w:val="21"/>
                <w:vertAlign w:val="baseli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空心村，可认定完成治理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芦列坑村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厌氧+人工湿地</w:t>
            </w: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sz w:val="21"/>
                <w:szCs w:val="21"/>
                <w:vertAlign w:val="baseline"/>
                <w:lang w:val="en-US" w:eastAsia="zh-CN"/>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未正常运转</w:t>
            </w: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池塘</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空心村，</w:t>
            </w:r>
            <w:bookmarkStart w:id="351" w:name="OLE_LINK13"/>
            <w:r>
              <w:rPr>
                <w:rFonts w:hint="eastAsia" w:ascii="仿宋_GB2312" w:hAnsi="仿宋_GB2312" w:eastAsia="仿宋_GB2312" w:cs="仿宋_GB2312"/>
                <w:i w:val="0"/>
                <w:iCs w:val="0"/>
                <w:color w:val="000000"/>
                <w:kern w:val="0"/>
                <w:sz w:val="21"/>
                <w:szCs w:val="21"/>
                <w:u w:val="none"/>
                <w:lang w:val="en-US" w:eastAsia="zh-CN" w:bidi="ar"/>
              </w:rPr>
              <w:t>可认定完成治理</w:t>
            </w:r>
            <w:bookmarkEnd w:id="35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革新渔业村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革新渔业村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深渔村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深渔一村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1609</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4778730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深渔村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深渔二村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1073</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1451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4309470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盐町村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盐町一村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1559250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盐町村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盐町二村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710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1212750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浪清村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星群村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908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2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浪清村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928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新乡村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872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323400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姚厝地</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198000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新北村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北山村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141</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840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11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长沙村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长东村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1635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restart"/>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AAO+BAF</w:t>
            </w:r>
          </w:p>
        </w:tc>
        <w:tc>
          <w:tcPr>
            <w:tcW w:w="66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117"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正常运转</w:t>
            </w:r>
          </w:p>
        </w:tc>
        <w:tc>
          <w:tcPr>
            <w:tcW w:w="679"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restart"/>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FG</w:t>
            </w:r>
          </w:p>
        </w:tc>
        <w:tc>
          <w:tcPr>
            <w:tcW w:w="900" w:type="dxa"/>
            <w:vMerge w:val="restart"/>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139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长沙村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长中村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328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1729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485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长沙村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方厝村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长沙村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后棚村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545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81</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建设设施</w:t>
            </w:r>
          </w:p>
        </w:tc>
        <w:tc>
          <w:tcPr>
            <w:tcW w:w="153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133650</w:t>
            </w:r>
          </w:p>
        </w:tc>
        <w:tc>
          <w:tcPr>
            <w:tcW w:w="900" w:type="dxa"/>
            <w:vMerge w:val="continue"/>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683" w:type="dxa"/>
            <w:vMerge w:val="continue"/>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埔美村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77</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396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325050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岭头村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151800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深田村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122</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619</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207</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341550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埔町村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218</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1070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188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310200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新厝村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46</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510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大园村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149</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新塘村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363000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150</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马宫街道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长沙村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后埔村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33</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146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102</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未治理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建设设施</w:t>
            </w:r>
          </w:p>
        </w:tc>
        <w:tc>
          <w:tcPr>
            <w:tcW w:w="153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1254"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AAO+BAF</w:t>
            </w:r>
          </w:p>
        </w:tc>
        <w:tc>
          <w:tcPr>
            <w:tcW w:w="667"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561000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highlight w:val="none"/>
                <w:vertAlign w:val="baseli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FG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2022年</w:t>
            </w:r>
          </w:p>
        </w:tc>
        <w:tc>
          <w:tcPr>
            <w:tcW w:w="2424"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因村内用地紧张，拟接入长沙村设施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151</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bookmarkStart w:id="352" w:name="OLE_LINK22"/>
            <w:r>
              <w:rPr>
                <w:rFonts w:hint="eastAsia" w:ascii="仿宋_GB2312" w:hAnsi="仿宋_GB2312" w:eastAsia="仿宋_GB2312" w:cs="仿宋_GB2312"/>
                <w:i w:val="0"/>
                <w:iCs w:val="0"/>
                <w:color w:val="000000"/>
                <w:kern w:val="0"/>
                <w:sz w:val="21"/>
                <w:szCs w:val="21"/>
                <w:highlight w:val="none"/>
                <w:u w:val="none"/>
                <w:lang w:val="en-US" w:eastAsia="zh-CN" w:bidi="ar"/>
              </w:rPr>
              <w:t>马宫街道</w:t>
            </w:r>
            <w:bookmarkEnd w:id="352"/>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田中村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39</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281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88</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一般</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提升改造</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2012年</w:t>
            </w:r>
          </w:p>
        </w:tc>
        <w:tc>
          <w:tcPr>
            <w:tcW w:w="1254"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145200</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highlight w:val="none"/>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已认定完成治理，需提升改造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152</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东风</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渔业村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东风渔业村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1920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10680</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8580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2009年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153</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渔业村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前进渔业村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1560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9026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7125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2009年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AG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已认定完成治理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154</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红卫</w:t>
            </w:r>
          </w:p>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渔业村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红卫渔业村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1050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4305</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集中</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纳厂</w:t>
            </w:r>
          </w:p>
        </w:tc>
        <w:tc>
          <w:tcPr>
            <w:tcW w:w="153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西区污水处理厂</w:t>
            </w:r>
          </w:p>
        </w:tc>
        <w:tc>
          <w:tcPr>
            <w:tcW w:w="1566"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正常运行</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2009年</w:t>
            </w: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jc w:val="center"/>
              <w:rPr>
                <w:rFonts w:hint="eastAsia" w:ascii="仿宋_GB2312" w:hAnsi="仿宋_GB2312" w:eastAsia="仿宋_GB2312" w:cs="仿宋_GB2312"/>
                <w:sz w:val="21"/>
                <w:szCs w:val="21"/>
                <w:vertAlign w:val="baseline"/>
                <w:lang w:val="en-US" w:eastAsia="zh-CN"/>
              </w:rPr>
            </w:pPr>
          </w:p>
        </w:tc>
        <w:tc>
          <w:tcPr>
            <w:tcW w:w="650" w:type="dxa"/>
            <w:vAlign w:val="center"/>
          </w:tcPr>
          <w:p>
            <w:pPr>
              <w:jc w:val="center"/>
              <w:rPr>
                <w:rFonts w:hint="eastAsia" w:ascii="仿宋_GB2312" w:hAnsi="仿宋_GB2312" w:eastAsia="仿宋_GB2312" w:cs="仿宋_GB2312"/>
                <w:sz w:val="21"/>
                <w:szCs w:val="21"/>
                <w:vertAlign w:val="baseline"/>
                <w:lang w:val="en-US" w:eastAsia="zh-CN"/>
              </w:rPr>
            </w:pPr>
          </w:p>
        </w:tc>
        <w:tc>
          <w:tcPr>
            <w:tcW w:w="916" w:type="dxa"/>
            <w:vAlign w:val="center"/>
          </w:tcPr>
          <w:p>
            <w:pPr>
              <w:jc w:val="center"/>
              <w:rPr>
                <w:rFonts w:hint="eastAsia" w:ascii="仿宋_GB2312" w:hAnsi="仿宋_GB2312" w:eastAsia="仿宋_GB2312" w:cs="仿宋_GB2312"/>
                <w:sz w:val="21"/>
                <w:szCs w:val="21"/>
                <w:vertAlign w:val="baseline"/>
                <w:lang w:val="en-US" w:eastAsia="zh-CN"/>
              </w:rPr>
            </w:pP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683"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G</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53" w:name="OLE_LINK15"/>
            <w:r>
              <w:rPr>
                <w:rFonts w:hint="eastAsia" w:ascii="仿宋_GB2312" w:hAnsi="仿宋_GB2312" w:eastAsia="仿宋_GB2312" w:cs="仿宋_GB2312"/>
                <w:i w:val="0"/>
                <w:iCs w:val="0"/>
                <w:color w:val="000000"/>
                <w:kern w:val="0"/>
                <w:sz w:val="21"/>
                <w:szCs w:val="21"/>
                <w:u w:val="none"/>
                <w:lang w:val="en-US" w:eastAsia="zh-CN" w:bidi="ar"/>
              </w:rPr>
              <w:t>已认定完成治理</w:t>
            </w:r>
            <w:bookmarkEnd w:id="35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155</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李厝村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851</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156</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芳荣村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五福村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95</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586</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54" w:name="OLE_LINK3"/>
            <w:r>
              <w:rPr>
                <w:rFonts w:hint="eastAsia" w:ascii="仿宋_GB2312" w:hAnsi="仿宋_GB2312" w:eastAsia="仿宋_GB2312" w:cs="仿宋_GB2312"/>
                <w:i w:val="0"/>
                <w:iCs w:val="0"/>
                <w:color w:val="000000"/>
                <w:kern w:val="0"/>
                <w:sz w:val="21"/>
                <w:szCs w:val="21"/>
                <w:u w:val="none"/>
                <w:lang w:val="en-US" w:eastAsia="zh-CN" w:bidi="ar"/>
              </w:rPr>
              <w:t>完成治理</w:t>
            </w:r>
            <w:bookmarkEnd w:id="354"/>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157</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芳荣村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大华村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254</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1058</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0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158</w:t>
            </w:r>
          </w:p>
        </w:tc>
        <w:tc>
          <w:tcPr>
            <w:tcW w:w="917"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bookmarkStart w:id="355" w:name="OLE_LINK21"/>
            <w:r>
              <w:rPr>
                <w:rFonts w:hint="eastAsia" w:ascii="仿宋_GB2312" w:hAnsi="仿宋_GB2312" w:eastAsia="仿宋_GB2312" w:cs="仿宋_GB2312"/>
                <w:i w:val="0"/>
                <w:iCs w:val="0"/>
                <w:color w:val="000000"/>
                <w:kern w:val="0"/>
                <w:sz w:val="21"/>
                <w:szCs w:val="21"/>
                <w:u w:val="none"/>
                <w:lang w:val="en-US" w:eastAsia="zh-CN" w:bidi="ar"/>
              </w:rPr>
              <w:t>新港街道</w:t>
            </w:r>
            <w:bookmarkEnd w:id="355"/>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芳荣村</w:t>
            </w:r>
          </w:p>
        </w:tc>
        <w:tc>
          <w:tcPr>
            <w:tcW w:w="883"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银牌村</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8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732</w:t>
            </w:r>
          </w:p>
        </w:tc>
        <w:tc>
          <w:tcPr>
            <w:tcW w:w="79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705"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分散</w:t>
            </w:r>
          </w:p>
        </w:tc>
        <w:tc>
          <w:tcPr>
            <w:tcW w:w="66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完成治理</w:t>
            </w:r>
          </w:p>
        </w:tc>
        <w:tc>
          <w:tcPr>
            <w:tcW w:w="1358"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资源化利用</w:t>
            </w:r>
          </w:p>
        </w:tc>
        <w:tc>
          <w:tcPr>
            <w:tcW w:w="153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566"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917"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1254" w:type="dxa"/>
            <w:vAlign w:val="center"/>
          </w:tcPr>
          <w:p>
            <w:pPr>
              <w:jc w:val="center"/>
              <w:rPr>
                <w:rFonts w:hint="eastAsia" w:ascii="仿宋_GB2312" w:hAnsi="仿宋_GB2312" w:eastAsia="仿宋_GB2312" w:cs="仿宋_GB2312"/>
                <w:sz w:val="21"/>
                <w:szCs w:val="21"/>
                <w:vertAlign w:val="baseline"/>
                <w:lang w:val="en-US" w:eastAsia="zh-CN"/>
              </w:rPr>
            </w:pPr>
          </w:p>
        </w:tc>
        <w:tc>
          <w:tcPr>
            <w:tcW w:w="667" w:type="dxa"/>
            <w:vAlign w:val="center"/>
          </w:tcPr>
          <w:p>
            <w:pPr>
              <w:jc w:val="center"/>
              <w:rPr>
                <w:rFonts w:hint="eastAsia" w:ascii="仿宋_GB2312" w:hAnsi="仿宋_GB2312" w:eastAsia="仿宋_GB2312" w:cs="仿宋_GB2312"/>
                <w:sz w:val="21"/>
                <w:szCs w:val="21"/>
                <w:vertAlign w:val="baseline"/>
                <w:lang w:val="en-US" w:eastAsia="zh-CN"/>
              </w:rPr>
            </w:pPr>
          </w:p>
        </w:tc>
        <w:tc>
          <w:tcPr>
            <w:tcW w:w="1117" w:type="dxa"/>
            <w:vAlign w:val="center"/>
          </w:tcPr>
          <w:p>
            <w:pPr>
              <w:jc w:val="center"/>
              <w:rPr>
                <w:rFonts w:hint="eastAsia" w:ascii="仿宋_GB2312" w:hAnsi="仿宋_GB2312" w:eastAsia="仿宋_GB2312" w:cs="仿宋_GB2312"/>
                <w:sz w:val="21"/>
                <w:szCs w:val="21"/>
                <w:vertAlign w:val="baseline"/>
                <w:lang w:val="en-US" w:eastAsia="zh-CN"/>
              </w:rPr>
            </w:pPr>
          </w:p>
        </w:tc>
        <w:tc>
          <w:tcPr>
            <w:tcW w:w="679"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650"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是</w:t>
            </w:r>
          </w:p>
        </w:tc>
        <w:tc>
          <w:tcPr>
            <w:tcW w:w="916" w:type="dxa"/>
            <w:vAlign w:val="center"/>
          </w:tcPr>
          <w:p>
            <w:pPr>
              <w:keepNext w:val="0"/>
              <w:keepLines w:val="0"/>
              <w:widowControl/>
              <w:suppressLineNumbers w:val="0"/>
              <w:jc w:val="center"/>
              <w:textAlignment w:val="center"/>
              <w:rPr>
                <w:rFonts w:hint="eastAsia" w:ascii="仿宋_GB2312" w:hAnsi="仿宋_GB2312" w:eastAsia="仿宋_GB2312" w:cs="仿宋_GB2312"/>
                <w:sz w:val="21"/>
                <w:szCs w:val="21"/>
                <w:vertAlign w:val="baseli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林地、草地</w:t>
            </w:r>
          </w:p>
        </w:tc>
        <w:tc>
          <w:tcPr>
            <w:tcW w:w="984"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否</w:t>
            </w:r>
          </w:p>
        </w:tc>
        <w:tc>
          <w:tcPr>
            <w:tcW w:w="683" w:type="dxa"/>
            <w:vAlign w:val="center"/>
          </w:tcPr>
          <w:p>
            <w:pPr>
              <w:jc w:val="center"/>
              <w:rPr>
                <w:rFonts w:hint="eastAsia" w:ascii="仿宋_GB2312" w:hAnsi="仿宋_GB2312" w:eastAsia="仿宋_GB2312" w:cs="仿宋_GB2312"/>
                <w:sz w:val="21"/>
                <w:szCs w:val="21"/>
                <w:vertAlign w:val="baseline"/>
                <w:lang w:val="en-US" w:eastAsia="zh-CN"/>
              </w:rPr>
            </w:pPr>
          </w:p>
        </w:tc>
        <w:tc>
          <w:tcPr>
            <w:tcW w:w="900" w:type="dxa"/>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2021年</w:t>
            </w:r>
          </w:p>
        </w:tc>
        <w:tc>
          <w:tcPr>
            <w:tcW w:w="2424" w:type="dxa"/>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r>
      <w:bookmarkEnd w:id="337"/>
    </w:tbl>
    <w:p>
      <w:pPr>
        <w:rPr>
          <w:rFonts w:hint="default" w:ascii="Times New Roman" w:hAnsi="Times New Roman" w:cs="Times New Roman"/>
          <w:lang w:val="en-US" w:eastAsia="zh-CN"/>
        </w:rPr>
      </w:pPr>
    </w:p>
    <w:p>
      <w:pPr>
        <w:pStyle w:val="4"/>
        <w:keepNext/>
        <w:keepLines/>
        <w:pageBreakBefore w:val="0"/>
        <w:widowControl w:val="0"/>
        <w:kinsoku/>
        <w:wordWrap/>
        <w:overflowPunct/>
        <w:topLinePunct w:val="0"/>
        <w:autoSpaceDE/>
        <w:autoSpaceDN/>
        <w:bidi w:val="0"/>
        <w:adjustRightInd/>
        <w:snapToGrid/>
        <w:spacing w:before="120" w:after="120" w:line="360" w:lineRule="auto"/>
        <w:jc w:val="center"/>
        <w:textAlignment w:val="auto"/>
        <w:rPr>
          <w:rFonts w:hint="eastAsia" w:ascii="方正小标宋简体" w:hAnsi="方正小标宋简体" w:eastAsia="方正小标宋简体" w:cs="方正小标宋简体"/>
          <w:b w:val="0"/>
          <w:bCs w:val="0"/>
          <w:sz w:val="32"/>
          <w:szCs w:val="32"/>
          <w:highlight w:val="none"/>
          <w:lang w:val="en-US" w:eastAsia="zh-CN"/>
        </w:rPr>
      </w:pPr>
      <w:bookmarkStart w:id="356" w:name="_Toc7663"/>
      <w:r>
        <w:rPr>
          <w:rFonts w:hint="eastAsia" w:ascii="方正小标宋简体" w:hAnsi="方正小标宋简体" w:eastAsia="方正小标宋简体" w:cs="方正小标宋简体"/>
          <w:b w:val="0"/>
          <w:bCs w:val="0"/>
          <w:sz w:val="32"/>
          <w:szCs w:val="32"/>
          <w:highlight w:val="none"/>
          <w:lang w:val="en-US" w:eastAsia="zh-CN"/>
        </w:rPr>
        <w:t>附表4 城区老旧、废弃设施提升改造及管网修复完善工程清单</w:t>
      </w:r>
      <w:bookmarkEnd w:id="356"/>
    </w:p>
    <w:tbl>
      <w:tblPr>
        <w:tblStyle w:val="20"/>
        <w:tblW w:w="528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57" w:type="dxa"/>
          <w:bottom w:w="0" w:type="dxa"/>
          <w:right w:w="57" w:type="dxa"/>
        </w:tblCellMar>
      </w:tblPr>
      <w:tblGrid>
        <w:gridCol w:w="493"/>
        <w:gridCol w:w="613"/>
        <w:gridCol w:w="795"/>
        <w:gridCol w:w="870"/>
        <w:gridCol w:w="675"/>
        <w:gridCol w:w="645"/>
        <w:gridCol w:w="675"/>
        <w:gridCol w:w="508"/>
        <w:gridCol w:w="508"/>
        <w:gridCol w:w="508"/>
        <w:gridCol w:w="1821"/>
        <w:gridCol w:w="915"/>
        <w:gridCol w:w="1020"/>
        <w:gridCol w:w="540"/>
        <w:gridCol w:w="540"/>
        <w:gridCol w:w="540"/>
        <w:gridCol w:w="810"/>
        <w:gridCol w:w="1290"/>
        <w:gridCol w:w="1275"/>
        <w:gridCol w:w="1020"/>
        <w:gridCol w:w="1110"/>
        <w:gridCol w:w="540"/>
        <w:gridCol w:w="585"/>
        <w:gridCol w:w="570"/>
        <w:gridCol w:w="600"/>
        <w:gridCol w:w="784"/>
        <w:gridCol w:w="1050"/>
        <w:gridCol w:w="771"/>
        <w:gridCol w:w="11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559" w:hRule="atLeast"/>
          <w:tblHeader/>
          <w:jc w:val="center"/>
        </w:trPr>
        <w:tc>
          <w:tcPr>
            <w:tcW w:w="10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1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乡镇</w:t>
            </w:r>
          </w:p>
        </w:tc>
        <w:tc>
          <w:tcPr>
            <w:tcW w:w="1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行政村</w:t>
            </w:r>
          </w:p>
        </w:tc>
        <w:tc>
          <w:tcPr>
            <w:tcW w:w="1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自然村</w:t>
            </w:r>
          </w:p>
        </w:tc>
        <w:tc>
          <w:tcPr>
            <w:tcW w:w="1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户籍户数</w:t>
            </w:r>
          </w:p>
        </w:tc>
        <w:tc>
          <w:tcPr>
            <w:tcW w:w="13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户籍人口</w:t>
            </w:r>
          </w:p>
        </w:tc>
        <w:tc>
          <w:tcPr>
            <w:tcW w:w="14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常住人口</w:t>
            </w:r>
          </w:p>
        </w:tc>
        <w:tc>
          <w:tcPr>
            <w:tcW w:w="32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治理模式</w:t>
            </w:r>
          </w:p>
        </w:tc>
        <w:tc>
          <w:tcPr>
            <w:tcW w:w="39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存在主要问题描述</w:t>
            </w:r>
          </w:p>
        </w:tc>
        <w:tc>
          <w:tcPr>
            <w:tcW w:w="1493"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管网修复/完善</w:t>
            </w:r>
          </w:p>
        </w:tc>
        <w:tc>
          <w:tcPr>
            <w:tcW w:w="1122" w:type="pct"/>
            <w:gridSpan w:val="7"/>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设施修复/提升改造</w:t>
            </w:r>
          </w:p>
        </w:tc>
        <w:tc>
          <w:tcPr>
            <w:tcW w:w="2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提升改造总资金量/元</w:t>
            </w:r>
          </w:p>
        </w:tc>
        <w:tc>
          <w:tcPr>
            <w:tcW w:w="166"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计划完成时间</w:t>
            </w:r>
          </w:p>
        </w:tc>
        <w:tc>
          <w:tcPr>
            <w:tcW w:w="24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tblHeader/>
          <w:jc w:val="center"/>
        </w:trPr>
        <w:tc>
          <w:tcPr>
            <w:tcW w:w="1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1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1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0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纳厂</w:t>
            </w:r>
          </w:p>
        </w:tc>
        <w:tc>
          <w:tcPr>
            <w:tcW w:w="10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建设设施</w:t>
            </w:r>
          </w:p>
        </w:tc>
        <w:tc>
          <w:tcPr>
            <w:tcW w:w="109"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资源化利用</w:t>
            </w:r>
          </w:p>
        </w:tc>
        <w:tc>
          <w:tcPr>
            <w:tcW w:w="3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417"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现有管网情况</w:t>
            </w:r>
          </w:p>
        </w:tc>
        <w:tc>
          <w:tcPr>
            <w:tcW w:w="34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工程量系数确定</w:t>
            </w:r>
          </w:p>
        </w:tc>
        <w:tc>
          <w:tcPr>
            <w:tcW w:w="452"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管网修复/完善后情况</w:t>
            </w:r>
          </w:p>
        </w:tc>
        <w:tc>
          <w:tcPr>
            <w:tcW w:w="27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所需资金量估算/万元</w:t>
            </w:r>
          </w:p>
        </w:tc>
        <w:tc>
          <w:tcPr>
            <w:tcW w:w="21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已建设施处理规模t/d</w:t>
            </w:r>
          </w:p>
        </w:tc>
        <w:tc>
          <w:tcPr>
            <w:tcW w:w="23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设施修复类型</w:t>
            </w:r>
          </w:p>
        </w:tc>
        <w:tc>
          <w:tcPr>
            <w:tcW w:w="494"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工程量系数</w:t>
            </w:r>
          </w:p>
        </w:tc>
        <w:tc>
          <w:tcPr>
            <w:tcW w:w="1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所需资金量估算/万元</w:t>
            </w: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66" w:type="pct"/>
            <w:vMerge w:val="continue"/>
            <w:tcBorders>
              <w:left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2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tblHeader/>
          <w:jc w:val="center"/>
        </w:trPr>
        <w:tc>
          <w:tcPr>
            <w:tcW w:w="10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1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1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4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09"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09"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09"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39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9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覆盖率</w:t>
            </w:r>
          </w:p>
        </w:tc>
        <w:tc>
          <w:tcPr>
            <w:tcW w:w="21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服务人口</w:t>
            </w:r>
          </w:p>
        </w:tc>
        <w:tc>
          <w:tcPr>
            <w:tcW w:w="1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小修</w:t>
            </w:r>
          </w:p>
        </w:tc>
        <w:tc>
          <w:tcPr>
            <w:tcW w:w="1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中修</w:t>
            </w:r>
          </w:p>
        </w:tc>
        <w:tc>
          <w:tcPr>
            <w:tcW w:w="1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大修</w:t>
            </w:r>
          </w:p>
        </w:tc>
        <w:tc>
          <w:tcPr>
            <w:tcW w:w="1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覆盖率</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受益人口</w:t>
            </w:r>
          </w:p>
        </w:tc>
        <w:tc>
          <w:tcPr>
            <w:tcW w:w="27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21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23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小修</w:t>
            </w:r>
          </w:p>
        </w:tc>
        <w:tc>
          <w:tcPr>
            <w:tcW w:w="1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中修</w:t>
            </w:r>
          </w:p>
        </w:tc>
        <w:tc>
          <w:tcPr>
            <w:tcW w:w="1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大修</w:t>
            </w:r>
          </w:p>
        </w:tc>
        <w:tc>
          <w:tcPr>
            <w:tcW w:w="1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新建</w:t>
            </w:r>
          </w:p>
        </w:tc>
        <w:tc>
          <w:tcPr>
            <w:tcW w:w="168"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166"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24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8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深渔村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深渔一</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1380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1609</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643.6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1448.1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4778730</w:t>
            </w:r>
          </w:p>
        </w:tc>
        <w:tc>
          <w:tcPr>
            <w:tcW w:w="219"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b w:val="0"/>
                <w:bCs w:val="0"/>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4778730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val="0"/>
                <w:bCs w:val="0"/>
                <w:i w:val="0"/>
                <w:iCs w:val="0"/>
                <w:color w:val="000000"/>
                <w:sz w:val="21"/>
                <w:szCs w:val="21"/>
                <w:u w:val="none"/>
                <w:lang w:val="en-US" w:eastAsia="zh-CN"/>
              </w:rPr>
            </w:pPr>
            <w:r>
              <w:rPr>
                <w:rFonts w:hint="eastAsia" w:ascii="仿宋_GB2312" w:hAnsi="仿宋_GB2312" w:eastAsia="仿宋_GB2312" w:cs="仿宋_GB2312"/>
                <w:b w:val="0"/>
                <w:bCs w:val="0"/>
                <w:i w:val="0"/>
                <w:iCs w:val="0"/>
                <w:color w:val="000000"/>
                <w:sz w:val="21"/>
                <w:szCs w:val="21"/>
                <w:u w:val="none"/>
                <w:lang w:val="en-US" w:eastAsia="zh-CN"/>
              </w:rPr>
              <w:t>共用设施，需新建雨污分流管网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85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深渔村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深渔二</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225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1073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1451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580.4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1305.9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4309470</w:t>
            </w:r>
          </w:p>
        </w:tc>
        <w:tc>
          <w:tcPr>
            <w:tcW w:w="219" w:type="pct"/>
            <w:vMerge w:val="continue"/>
            <w:tcBorders>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4309470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5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盐町村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盐町一</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1559250</w:t>
            </w:r>
          </w:p>
        </w:tc>
        <w:tc>
          <w:tcPr>
            <w:tcW w:w="219"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1559250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共用设施，需新建雨污分流管网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85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盐町村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盐町二</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710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1212750</w:t>
            </w:r>
          </w:p>
        </w:tc>
        <w:tc>
          <w:tcPr>
            <w:tcW w:w="219" w:type="pct"/>
            <w:vMerge w:val="continue"/>
            <w:tcBorders>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1212750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03"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浪清村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星群</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908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219"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共用设施，需新建雨污分流管网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803"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浪清村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新兴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928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末端截污，接户支管未建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219" w:type="pct"/>
            <w:vMerge w:val="continue"/>
            <w:tcBorders>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1386000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vMerge w:val="continue"/>
            <w:tcBorders>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新北村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新乡</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141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872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140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管网基本覆盖集中区域，接户率需进一步提升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323400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323400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新北村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姚厝地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71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370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60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90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长沙村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后棚</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188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545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81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0.75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60.75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72.9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133650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133650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埔美</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396</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197</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177.3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325050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325050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5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sz w:val="21"/>
                <w:szCs w:val="21"/>
                <w:highlight w:val="none"/>
                <w:u w:val="none"/>
              </w:rPr>
            </w:pPr>
            <w:r>
              <w:rPr>
                <w:rFonts w:hint="eastAsia" w:ascii="仿宋_GB2312" w:hAnsi="仿宋_GB2312" w:eastAsia="仿宋_GB2312" w:cs="仿宋_GB2312"/>
                <w:i w:val="0"/>
                <w:iCs w:val="0"/>
                <w:color w:val="auto"/>
                <w:kern w:val="0"/>
                <w:sz w:val="21"/>
                <w:szCs w:val="21"/>
                <w:highlight w:val="none"/>
                <w:u w:val="none"/>
                <w:lang w:val="en-US" w:eastAsia="zh-CN" w:bidi="ar"/>
              </w:rPr>
              <w:t>岭头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82.8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151800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151800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8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深田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619</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207</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124.2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186.3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341550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341550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79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埔町</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1070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112.8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169.2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310200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310200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8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新厝</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510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大园</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新塘</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220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363000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363000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18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马宫街道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highlight w:val="none"/>
                <w:u w:val="none"/>
                <w:lang w:val="en-US" w:eastAsia="zh-CN" w:bidi="ar"/>
              </w:rPr>
            </w:pPr>
            <w:r>
              <w:rPr>
                <w:rFonts w:hint="eastAsia" w:ascii="仿宋_GB2312" w:hAnsi="仿宋_GB2312" w:eastAsia="仿宋_GB2312" w:cs="仿宋_GB2312"/>
                <w:i w:val="0"/>
                <w:iCs w:val="0"/>
                <w:color w:val="auto"/>
                <w:kern w:val="0"/>
                <w:sz w:val="21"/>
                <w:szCs w:val="21"/>
                <w:highlight w:val="none"/>
                <w:u w:val="none"/>
                <w:lang w:val="en-US" w:eastAsia="zh-CN" w:bidi="ar"/>
              </w:rPr>
              <w:t>金町村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highlight w:val="none"/>
                <w:u w:val="none"/>
                <w:lang w:val="en-US" w:eastAsia="zh-CN" w:bidi="ar"/>
              </w:rPr>
            </w:pPr>
            <w:r>
              <w:rPr>
                <w:rFonts w:hint="eastAsia" w:ascii="仿宋_GB2312" w:hAnsi="仿宋_GB2312" w:eastAsia="仿宋_GB2312" w:cs="仿宋_GB2312"/>
                <w:i w:val="0"/>
                <w:iCs w:val="0"/>
                <w:color w:val="auto"/>
                <w:kern w:val="0"/>
                <w:sz w:val="21"/>
                <w:szCs w:val="21"/>
                <w:highlight w:val="none"/>
                <w:u w:val="none"/>
                <w:lang w:val="en-US" w:eastAsia="zh-CN" w:bidi="ar"/>
              </w:rPr>
              <w:t>田中</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39</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281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88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末端截污，村内户管未建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52.8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79.2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145200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auto"/>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145200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auto"/>
                <w:kern w:val="0"/>
                <w:sz w:val="21"/>
                <w:szCs w:val="21"/>
                <w:u w:val="none"/>
                <w:lang w:val="en-US" w:eastAsia="zh-CN" w:bidi="ar"/>
              </w:rPr>
            </w:pPr>
            <w:r>
              <w:rPr>
                <w:rFonts w:hint="eastAsia" w:ascii="仿宋_GB2312" w:hAnsi="仿宋_GB2312" w:eastAsia="仿宋_GB2312" w:cs="仿宋_GB2312"/>
                <w:i w:val="0"/>
                <w:iCs w:val="0"/>
                <w:color w:val="auto"/>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19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三和村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大寮</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1708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仅接入了少量住户生活污水</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82.5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495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2495625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2495625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拾和村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夏村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1163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881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仅接入了沿马路边住户生活污水</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264.3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792.9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3634125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3634125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石联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553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387.1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497.7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927657.5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927657.5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512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460.8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1337600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1337600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桂星</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217140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217140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西二</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210.7</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270.9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504927.5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504927.5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西三</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208.6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268.2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557260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557260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埔边村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三联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237</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191.8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246.6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459635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459635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067"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西门</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620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1875500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1875500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桥余</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106.8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160.2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381810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381810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新町</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450450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450450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桥吴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770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808500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808500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085"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31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一村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868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674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269.6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606.6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2298340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2298340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二村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971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729</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291.6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656.1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2405700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2405700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三村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1222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376.4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846.9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2898280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2898280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四村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839</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448.7</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576.9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1322062.5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1322062.5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1335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990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891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2450250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2450250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六村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543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325.8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488.7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1164735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1164735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七村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1624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1207</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844.9</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1086.3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2024742.5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2024742.5</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八村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120.5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216.9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662750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662750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春雅</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仅有截污主管，未接户，部分生活污水直排入沟渠</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110880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110880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40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坑美</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仅有截污主管，未接户，部分生活污水直排入沟渠</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154.8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340560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340560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春雅、坑美、上陂共用设施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41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五雅村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上陂</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610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仅有截污主管，未接户，部分生活污水直排入沟渠</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121.8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182.7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401940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401940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春雅、坑美、上陂共用设施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光明村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梧厝埔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91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421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215</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129</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193.5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354750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354750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43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横堂</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490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104.4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191400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191400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后寮</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86.4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158400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158400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横堂、后寮、东寮、大陂共用设施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东寮</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510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157</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141.3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259050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259050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横堂、后寮、东寮、大陂共用设施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大乡</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419.4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768900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768900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横堂、后寮、东寮、大陂共用设施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既有截污主管，部分接户，部分污水直排村口林地</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78.6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117.9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216150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216150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竹山</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55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296</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113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主管截污，接户管不足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67.8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101.7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186450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186450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前埔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末端截污，村内户管未建。村内计划对池塘进行改造，阻碍污水收集管建设</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88.2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420420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420420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竹山、前埔、后湾、新厝、中乡共用设施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后湾</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142.2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434500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434500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竹山、前埔、后湾、新厝、中乡共用设施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新厝</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137</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末端截污，村内户管未建。村内计划对池塘进行改造，阻碍污水收集管建设</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123.3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587730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587730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竹山、前埔、后湾、新厝、中乡共用设施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52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海梧村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中乡</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761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119</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接户管不足</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71.4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107.1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196350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196350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竹山、前埔、后湾、新厝、中乡共用设施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新片</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231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138.6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207.9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381150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381150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前片</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561000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561000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新片、前片共用设施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辰洲村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后片</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667</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470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282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423</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1395900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1395900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56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红草镇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新村村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245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1218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662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397.2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595.8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1092300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1092300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洪流村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长富</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1303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管内淤泥堆积较多，未新建接户支管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481.8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722.7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1589940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1589940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洪流村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町前</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682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未新建接户支管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409.2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613.8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1350360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1350360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59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石洲村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石洲</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2503</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898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部分管道逆坡铺设，未新建接户支管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538.8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808.2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2074380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2074380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60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宝楼村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宝楼</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417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2194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201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120.6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180.9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397980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397980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61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新安村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青龙头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341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1976</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1384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830.4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1245.6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2740320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2740320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花树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649</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89</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未铺设支管，目前民群村正进行支管铺设施工</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53.4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176220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176220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目前民群村正进行支管铺设施工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63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民群村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大船路</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111</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580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56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highlight w:val="none"/>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大船路村部分污水通过暗渠直排未被截污，现纳污水体黑臭；设施池内异常，填料堆积。</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203280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203280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目前民群村正进行支管铺设施工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民群村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石厝</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179</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841</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目前排污为明渠，截污管网溢流口设置较低，导致池塘水倒灌</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134.4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302.4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1071840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1071840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目前民群村正进行支管铺设施工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大塘美</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1132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106</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进水异常，经排查发现管道破损导致灌溉渠水倒灌入管网</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0.8</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84.8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95.4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198220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198220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安华村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石奎</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进水异常，经排查发现疑似池塘水倒灌；部分住户未建有三级化粪池，排泄物直入管网</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0.8</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149600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149600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湖田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871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村内部分区域既有暗渠或村民自建支管未接入到截污主管内，污水收集效率低</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348.4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783.9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2970110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2970110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1513"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桂青</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690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村内既有暗渠或村民自建支管部分未接入到截污主管内，而排入至村旁沟渠，沟渠水体已存在黑臭现象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621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2352900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2352900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69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三联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670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村内已铺设截污主管，但暂未铺设接户支管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252.6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378.9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833580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833580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70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半寨</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199</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村内已铺设截污主管，但暂未铺设接户支管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119.4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179.1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394020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394020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虎头兰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179</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1198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860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1.部分区域已铺设接户支管，接户率需进一步提升</w:t>
            </w:r>
          </w:p>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2.现场核查进污水站前第一个检查井存在污水溢流现象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774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2932600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2932600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1513"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崎坑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1.村内接户支管覆盖率需进一步提升；</w:t>
            </w:r>
          </w:p>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2.由于村内常住人口较少，截污主管及污水处理设施进水量极少</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115500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115500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赤古村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东古</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1309</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858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已铺设主管进行截污，但村内既有暗渠或村民自建支管少部分未接入到截污主管内，而排入至村中水沟</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343.2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772.2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2548260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2548260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2402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14962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15064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末端截污，未建设接户支管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9038.4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13557.6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24855600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24855600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东家冲</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665</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末端截污，未建设接户支管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399</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598.5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1097250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1097250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红山</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820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末端截污，未建设接户支管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344.4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516.6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947100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947100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东石村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大园</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678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320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末端截污，新村已铺设支管，旧村尚未铺设支管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528000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528000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定家声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680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478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末端截污，未建设接户支管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286.8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430.2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788700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788700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79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南门外村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南门外</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3044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968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580.8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871.2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1597200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1597200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80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2718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594</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1089000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1089000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11"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81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联星村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联星</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540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810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1485000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1485000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858"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82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南门岗</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385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132000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132000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83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大淋</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420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46.8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70.2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128700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128700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r>
              <w:rPr>
                <w:rFonts w:hint="eastAsia" w:ascii="仿宋_GB2312" w:hAnsi="仿宋_GB2312" w:eastAsia="仿宋_GB2312" w:cs="仿宋_GB2312"/>
                <w:i w:val="0"/>
                <w:iCs w:val="0"/>
                <w:color w:val="000000"/>
                <w:kern w:val="0"/>
                <w:sz w:val="21"/>
                <w:szCs w:val="21"/>
                <w:u w:val="none"/>
                <w:lang w:val="en-US" w:eastAsia="zh-CN" w:bidi="ar"/>
              </w:rPr>
              <w:t>84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石岗村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石厝</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577500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577500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格塘</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435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271</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162.6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243.9</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447150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447150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马鞍山</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114</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68.4</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102.6</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188100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188100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格塘、马鞍山共用1座设施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大塘</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490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部分村庄末端截污，部分村庄未进行截污，均未建接户管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0.4</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196</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441</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1347500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1347500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五爱村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坣头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770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405</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243</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364.5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668250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668250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89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沙角尾村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沙角尾</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2568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632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379.2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568.8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1042800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1042800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联安村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联安</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2788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管网基本覆盖集中区域，接户率可进一步提升</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630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1732500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1732500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大流村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大流</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3700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1080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1620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3564000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3564000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埔尾</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558</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2888</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末端截污，村内接户管未建</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600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900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1650000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1650000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芴仔</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芴仔、公顶共用一座设施，设施出水异常，芴仔村已建雨污分流管网</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0.7</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297000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297000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94</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埔尾村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公顶</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600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芴仔、公顶共用一座设施，设施出水异常，主管截污，未建接户支管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247500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247500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芴仔、公顶共用一座设施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12"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95</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牛肚村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牛肚</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170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主管截污，未建接户支管，截污井溢流堰设置过低，污水直排入沟渠造成黑臭</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360</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1452000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1452000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96</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佛兰</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296</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12</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新兴、佛兰共用一座设施，主管截污，未建接户支管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10.8</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97</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286</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新兴、佛兰共用一座设施，主管截污，未建接户支管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27</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74250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74250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新兴、佛兰共用一座设施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98</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前进村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大水沟</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594</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35</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末端截污，未建接户支管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21</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31.5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57750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57750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99</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沙坑村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沙坑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1992</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330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新村已做雨污分流，老村主管截污，未建接户支管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297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544500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544500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东坑村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东坑</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440</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3050</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末端截污不完全，部分污水直排，未建接户支管</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0.3</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135</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0.2</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405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1633500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1633500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101</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军船头村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军船头</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456</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2535</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1568</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接户率需进一步提高</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940.8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1411.2</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2587200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80</w:t>
            </w: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2587200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102</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香洲街道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西洋村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西洋</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1189</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250</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接户率需进一步提高</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150</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225</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412500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412500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6" w:hRule="atLeast"/>
          <w:jc w:val="center"/>
        </w:trPr>
        <w:tc>
          <w:tcPr>
            <w:tcW w:w="1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103</w:t>
            </w:r>
          </w:p>
        </w:tc>
        <w:tc>
          <w:tcPr>
            <w:tcW w:w="1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香洲街道</w:t>
            </w:r>
          </w:p>
        </w:tc>
        <w:tc>
          <w:tcPr>
            <w:tcW w:w="1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梧桐村</w:t>
            </w:r>
          </w:p>
        </w:tc>
        <w:tc>
          <w:tcPr>
            <w:tcW w:w="1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梧桐</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343</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1907</w:t>
            </w:r>
          </w:p>
        </w:tc>
        <w:tc>
          <w:tcPr>
            <w:tcW w:w="14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1113</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w:t>
            </w: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9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sz w:val="21"/>
                <w:szCs w:val="21"/>
                <w:u w:val="none"/>
                <w:lang w:val="en-US" w:eastAsia="zh-CN"/>
              </w:rPr>
              <w:t>接户率需进一步提高</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0.6</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667.8</w:t>
            </w: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0.9</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1001.7</w:t>
            </w: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1836450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3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2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1836450</w:t>
            </w:r>
          </w:p>
        </w:tc>
        <w:tc>
          <w:tcPr>
            <w:tcW w:w="16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2022年</w:t>
            </w:r>
          </w:p>
        </w:tc>
        <w:tc>
          <w:tcPr>
            <w:tcW w:w="24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bl>
    <w:p>
      <w:pPr>
        <w:pStyle w:val="2"/>
        <w:rPr>
          <w:rFonts w:hint="default" w:ascii="Times New Roman" w:hAnsi="Times New Roman" w:cs="Times New Roman"/>
          <w:lang w:val="en-US" w:eastAsia="zh-CN"/>
        </w:rPr>
        <w:sectPr>
          <w:pgSz w:w="23811" w:h="16838" w:orient="landscape"/>
          <w:pgMar w:top="1803" w:right="850" w:bottom="1803" w:left="1134" w:header="851" w:footer="992" w:gutter="0"/>
          <w:pgBorders>
            <w:top w:val="none" w:sz="0" w:space="0"/>
            <w:left w:val="none" w:sz="0" w:space="0"/>
            <w:bottom w:val="none" w:sz="0" w:space="0"/>
            <w:right w:val="none" w:sz="0" w:space="0"/>
          </w:pgBorders>
          <w:pgNumType w:fmt="numberInDash"/>
          <w:cols w:space="0" w:num="1"/>
          <w:rtlGutter w:val="0"/>
          <w:docGrid w:type="lines" w:linePitch="319" w:charSpace="0"/>
        </w:sectPr>
      </w:pPr>
    </w:p>
    <w:p>
      <w:pPr>
        <w:pStyle w:val="4"/>
        <w:keepNext/>
        <w:keepLines/>
        <w:pageBreakBefore w:val="0"/>
        <w:widowControl w:val="0"/>
        <w:kinsoku/>
        <w:wordWrap/>
        <w:overflowPunct/>
        <w:topLinePunct w:val="0"/>
        <w:autoSpaceDE/>
        <w:autoSpaceDN/>
        <w:bidi w:val="0"/>
        <w:adjustRightInd/>
        <w:snapToGrid/>
        <w:spacing w:before="0" w:after="0" w:line="360" w:lineRule="auto"/>
        <w:jc w:val="center"/>
        <w:textAlignment w:val="auto"/>
        <w:rPr>
          <w:rFonts w:hint="eastAsia" w:ascii="方正小标宋简体" w:hAnsi="方正小标宋简体" w:eastAsia="方正小标宋简体" w:cs="方正小标宋简体"/>
          <w:b w:val="0"/>
          <w:bCs w:val="0"/>
          <w:kern w:val="44"/>
          <w:sz w:val="30"/>
          <w:szCs w:val="30"/>
        </w:rPr>
      </w:pPr>
      <w:bookmarkStart w:id="357" w:name="_Toc5418"/>
      <w:r>
        <w:rPr>
          <w:rFonts w:hint="eastAsia" w:ascii="方正小标宋简体" w:hAnsi="方正小标宋简体" w:eastAsia="方正小标宋简体" w:cs="方正小标宋简体"/>
          <w:b w:val="0"/>
          <w:bCs w:val="0"/>
          <w:sz w:val="32"/>
          <w:szCs w:val="32"/>
          <w:highlight w:val="none"/>
          <w:lang w:val="en-US" w:eastAsia="zh-CN"/>
        </w:rPr>
        <w:t>附表5 城区农村生活污水治理</w:t>
      </w:r>
      <w:r>
        <w:rPr>
          <w:rFonts w:hint="eastAsia" w:ascii="方正小标宋简体" w:hAnsi="方正小标宋简体" w:eastAsia="方正小标宋简体" w:cs="方正小标宋简体"/>
          <w:b w:val="0"/>
          <w:bCs w:val="0"/>
          <w:kern w:val="44"/>
          <w:sz w:val="30"/>
          <w:szCs w:val="30"/>
        </w:rPr>
        <w:t>主要推进模式及建设、运维资金估算统计表</w:t>
      </w:r>
      <w:bookmarkEnd w:id="357"/>
    </w:p>
    <w:p>
      <w:pPr>
        <w:keepNext w:val="0"/>
        <w:keepLines w:val="0"/>
        <w:pageBreakBefore w:val="0"/>
        <w:widowControl w:val="0"/>
        <w:kinsoku/>
        <w:wordWrap/>
        <w:overflowPunct/>
        <w:topLinePunct w:val="0"/>
        <w:autoSpaceDE/>
        <w:autoSpaceDN/>
        <w:bidi w:val="0"/>
        <w:adjustRightInd/>
        <w:snapToGrid/>
        <w:ind w:right="0" w:rightChars="0"/>
        <w:jc w:val="right"/>
        <w:textAlignment w:val="auto"/>
        <w:rPr>
          <w:rFonts w:hint="eastAsia" w:ascii="楷体_GB2312" w:hAnsi="楷体_GB2312" w:eastAsia="楷体_GB2312" w:cs="楷体_GB2312"/>
          <w:color w:val="auto"/>
          <w:kern w:val="2"/>
          <w:sz w:val="30"/>
          <w:szCs w:val="30"/>
          <w:lang w:val="en-US" w:eastAsia="zh-CN" w:bidi="ar-SA"/>
        </w:rPr>
      </w:pPr>
      <w:r>
        <w:rPr>
          <w:rFonts w:hint="eastAsia" w:ascii="楷体_GB2312" w:hAnsi="楷体_GB2312" w:eastAsia="楷体_GB2312" w:cs="楷体_GB2312"/>
          <w:color w:val="auto"/>
          <w:kern w:val="2"/>
          <w:sz w:val="30"/>
          <w:szCs w:val="30"/>
          <w:lang w:val="en-US" w:eastAsia="zh-CN" w:bidi="ar-SA"/>
        </w:rPr>
        <w:t>单位：万元</w:t>
      </w:r>
    </w:p>
    <w:tbl>
      <w:tblPr>
        <w:tblStyle w:val="20"/>
        <w:tblW w:w="523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57" w:type="dxa"/>
          <w:bottom w:w="0" w:type="dxa"/>
          <w:right w:w="57" w:type="dxa"/>
        </w:tblCellMar>
      </w:tblPr>
      <w:tblGrid>
        <w:gridCol w:w="823"/>
        <w:gridCol w:w="1037"/>
        <w:gridCol w:w="1122"/>
        <w:gridCol w:w="2475"/>
        <w:gridCol w:w="1415"/>
        <w:gridCol w:w="1395"/>
        <w:gridCol w:w="1285"/>
        <w:gridCol w:w="980"/>
        <w:gridCol w:w="1030"/>
        <w:gridCol w:w="1250"/>
        <w:gridCol w:w="1035"/>
        <w:gridCol w:w="2022"/>
        <w:gridCol w:w="1833"/>
        <w:gridCol w:w="1067"/>
        <w:gridCol w:w="1138"/>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037" w:hRule="atLeast"/>
          <w:tblHeader/>
          <w:jc w:val="center"/>
        </w:trPr>
        <w:tc>
          <w:tcPr>
            <w:tcW w:w="193"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bookmarkStart w:id="360" w:name="_GoBack"/>
            <w:r>
              <w:rPr>
                <w:rFonts w:hint="eastAsia" w:ascii="仿宋_GB2312" w:hAnsi="仿宋_GB2312" w:eastAsia="仿宋_GB2312" w:cs="仿宋_GB2312"/>
                <w:b/>
                <w:bCs/>
                <w:i w:val="0"/>
                <w:iCs w:val="0"/>
                <w:color w:val="000000"/>
                <w:kern w:val="0"/>
                <w:sz w:val="21"/>
                <w:szCs w:val="21"/>
                <w:u w:val="none"/>
                <w:lang w:val="en-US" w:eastAsia="zh-CN" w:bidi="ar"/>
              </w:rPr>
              <w:t>序号</w:t>
            </w:r>
          </w:p>
        </w:tc>
        <w:tc>
          <w:tcPr>
            <w:tcW w:w="243"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县</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（市、区）</w:t>
            </w:r>
          </w:p>
        </w:tc>
        <w:tc>
          <w:tcPr>
            <w:tcW w:w="263"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镇</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（街道）</w:t>
            </w:r>
          </w:p>
        </w:tc>
        <w:tc>
          <w:tcPr>
            <w:tcW w:w="581"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项目实施单位（部门）</w:t>
            </w:r>
          </w:p>
        </w:tc>
        <w:tc>
          <w:tcPr>
            <w:tcW w:w="332"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工程推进模式</w:t>
            </w:r>
          </w:p>
        </w:tc>
        <w:tc>
          <w:tcPr>
            <w:tcW w:w="859" w:type="pct"/>
            <w:gridSpan w:val="3"/>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新建工程资金估算</w:t>
            </w:r>
          </w:p>
        </w:tc>
        <w:tc>
          <w:tcPr>
            <w:tcW w:w="535" w:type="pct"/>
            <w:gridSpan w:val="2"/>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提升改造工程资金估算</w:t>
            </w:r>
          </w:p>
        </w:tc>
        <w:tc>
          <w:tcPr>
            <w:tcW w:w="243"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建设改造</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资金合计</w:t>
            </w:r>
          </w:p>
        </w:tc>
        <w:tc>
          <w:tcPr>
            <w:tcW w:w="1423" w:type="pct"/>
            <w:gridSpan w:val="4"/>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运维资金估算</w:t>
            </w:r>
          </w:p>
        </w:tc>
        <w:tc>
          <w:tcPr>
            <w:tcW w:w="324" w:type="pct"/>
            <w:vMerge w:val="restar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主要资金</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筹措方式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56" w:hRule="atLeast"/>
          <w:tblHeader/>
          <w:jc w:val="center"/>
        </w:trPr>
        <w:tc>
          <w:tcPr>
            <w:tcW w:w="193" w:type="pct"/>
            <w:vMerge w:val="continue"/>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243" w:type="pct"/>
            <w:vMerge w:val="continue"/>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c>
          <w:tcPr>
            <w:tcW w:w="263"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581"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332"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32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纳入城镇污水处理厂工程资金估算</w:t>
            </w:r>
          </w:p>
        </w:tc>
        <w:tc>
          <w:tcPr>
            <w:tcW w:w="30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新增污水处理设施工程（含配套管网）资金估算</w:t>
            </w:r>
          </w:p>
        </w:tc>
        <w:tc>
          <w:tcPr>
            <w:tcW w:w="230"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资源化利用工程资金估算</w:t>
            </w:r>
          </w:p>
        </w:tc>
        <w:tc>
          <w:tcPr>
            <w:tcW w:w="241"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管网修复工程资金估算</w:t>
            </w:r>
          </w:p>
        </w:tc>
        <w:tc>
          <w:tcPr>
            <w:tcW w:w="293"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设施改造工程资金估算</w:t>
            </w:r>
          </w:p>
        </w:tc>
        <w:tc>
          <w:tcPr>
            <w:tcW w:w="243" w:type="pct"/>
            <w:vMerge w:val="continue"/>
            <w:shd w:val="clear" w:color="auto" w:fill="auto"/>
            <w:vAlign w:val="center"/>
          </w:tcPr>
          <w:p>
            <w:pPr>
              <w:jc w:val="center"/>
              <w:rPr>
                <w:rFonts w:hint="eastAsia" w:ascii="仿宋_GB2312" w:hAnsi="仿宋_GB2312" w:eastAsia="仿宋_GB2312" w:cs="仿宋_GB2312"/>
                <w:b/>
                <w:bCs/>
                <w:i w:val="0"/>
                <w:iCs w:val="0"/>
                <w:color w:val="000000"/>
                <w:sz w:val="21"/>
                <w:szCs w:val="21"/>
                <w:u w:val="none"/>
              </w:rPr>
            </w:pPr>
          </w:p>
        </w:tc>
        <w:tc>
          <w:tcPr>
            <w:tcW w:w="474" w:type="pct"/>
            <w:shd w:val="clear" w:color="auto" w:fill="auto"/>
            <w:vAlign w:val="center"/>
          </w:tcPr>
          <w:p>
            <w:pPr>
              <w:jc w:val="center"/>
              <w:rPr>
                <w:rFonts w:hint="eastAsia" w:ascii="仿宋_GB2312" w:hAnsi="仿宋_GB2312" w:eastAsia="仿宋_GB2312" w:cs="仿宋_GB2312"/>
                <w:b/>
                <w:bCs/>
                <w:i w:val="0"/>
                <w:iCs w:val="0"/>
                <w:color w:val="000000"/>
                <w:sz w:val="21"/>
                <w:szCs w:val="21"/>
                <w:u w:val="none"/>
                <w:lang w:val="en-US" w:eastAsia="zh-CN"/>
              </w:rPr>
            </w:pPr>
            <w:r>
              <w:rPr>
                <w:rFonts w:hint="eastAsia" w:ascii="仿宋_GB2312" w:hAnsi="仿宋_GB2312" w:eastAsia="仿宋_GB2312" w:cs="仿宋_GB2312"/>
                <w:b/>
                <w:bCs/>
                <w:i w:val="0"/>
                <w:iCs w:val="0"/>
                <w:color w:val="000000"/>
                <w:sz w:val="21"/>
                <w:szCs w:val="21"/>
                <w:u w:val="none"/>
                <w:lang w:val="en-US" w:eastAsia="zh-CN"/>
              </w:rPr>
              <w:t>运维对象</w:t>
            </w:r>
          </w:p>
        </w:tc>
        <w:tc>
          <w:tcPr>
            <w:tcW w:w="430"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运维主要模式</w:t>
            </w:r>
          </w:p>
        </w:tc>
        <w:tc>
          <w:tcPr>
            <w:tcW w:w="250"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处理规模合计（m</w:t>
            </w:r>
            <w:r>
              <w:rPr>
                <w:rFonts w:hint="eastAsia" w:ascii="仿宋_GB2312" w:hAnsi="仿宋_GB2312" w:eastAsia="仿宋_GB2312" w:cs="仿宋_GB2312"/>
                <w:b/>
                <w:bCs/>
                <w:i w:val="0"/>
                <w:iCs w:val="0"/>
                <w:color w:val="000000"/>
                <w:kern w:val="0"/>
                <w:sz w:val="21"/>
                <w:szCs w:val="21"/>
                <w:u w:val="none"/>
                <w:vertAlign w:val="superscript"/>
                <w:lang w:val="en-US" w:eastAsia="zh-CN" w:bidi="ar"/>
              </w:rPr>
              <w:t>3</w:t>
            </w:r>
            <w:r>
              <w:rPr>
                <w:rFonts w:hint="eastAsia" w:ascii="仿宋_GB2312" w:hAnsi="仿宋_GB2312" w:eastAsia="仿宋_GB2312" w:cs="仿宋_GB2312"/>
                <w:b/>
                <w:bCs/>
                <w:i w:val="0"/>
                <w:iCs w:val="0"/>
                <w:color w:val="000000"/>
                <w:kern w:val="0"/>
                <w:sz w:val="21"/>
                <w:szCs w:val="21"/>
                <w:u w:val="none"/>
                <w:lang w:val="en-US" w:eastAsia="zh-CN" w:bidi="ar"/>
              </w:rPr>
              <w:t>/d)</w:t>
            </w:r>
          </w:p>
        </w:tc>
        <w:tc>
          <w:tcPr>
            <w:tcW w:w="267" w:type="pct"/>
            <w:shd w:val="clear" w:color="auto" w:fill="auto"/>
            <w:vAlign w:val="center"/>
          </w:tcPr>
          <w:p>
            <w:pPr>
              <w:keepNext w:val="0"/>
              <w:keepLines w:val="0"/>
              <w:widowControl/>
              <w:suppressLineNumbers w:val="0"/>
              <w:jc w:val="center"/>
              <w:textAlignment w:val="center"/>
              <w:rPr>
                <w:rFonts w:hint="eastAsia" w:ascii="仿宋_GB2312" w:hAnsi="仿宋_GB2312" w:eastAsia="仿宋_GB2312" w:cs="仿宋_GB2312"/>
                <w:b/>
                <w:bCs/>
                <w:i w:val="0"/>
                <w:iCs w:val="0"/>
                <w:color w:val="000000"/>
                <w:kern w:val="0"/>
                <w:sz w:val="21"/>
                <w:szCs w:val="21"/>
                <w:u w:val="none"/>
                <w:lang w:val="en-US" w:eastAsia="zh-CN" w:bidi="ar"/>
              </w:rPr>
            </w:pPr>
            <w:r>
              <w:rPr>
                <w:rFonts w:hint="eastAsia" w:ascii="仿宋_GB2312" w:hAnsi="仿宋_GB2312" w:eastAsia="仿宋_GB2312" w:cs="仿宋_GB2312"/>
                <w:b/>
                <w:bCs/>
                <w:i w:val="0"/>
                <w:iCs w:val="0"/>
                <w:color w:val="000000"/>
                <w:kern w:val="0"/>
                <w:sz w:val="21"/>
                <w:szCs w:val="21"/>
                <w:u w:val="none"/>
                <w:lang w:val="en-US" w:eastAsia="zh-CN" w:bidi="ar"/>
              </w:rPr>
              <w:t>运维资金估算</w:t>
            </w:r>
          </w:p>
          <w:p>
            <w:pPr>
              <w:keepNext w:val="0"/>
              <w:keepLines w:val="0"/>
              <w:widowControl/>
              <w:suppressLineNumbers w:val="0"/>
              <w:jc w:val="center"/>
              <w:textAlignment w:val="center"/>
              <w:rPr>
                <w:rFonts w:hint="eastAsia" w:ascii="仿宋_GB2312" w:hAnsi="仿宋_GB2312" w:eastAsia="仿宋_GB2312" w:cs="仿宋_GB2312"/>
                <w:b/>
                <w:bCs/>
                <w:i w:val="0"/>
                <w:iCs w:val="0"/>
                <w:color w:val="000000"/>
                <w:sz w:val="21"/>
                <w:szCs w:val="21"/>
                <w:u w:val="none"/>
              </w:rPr>
            </w:pPr>
            <w:r>
              <w:rPr>
                <w:rFonts w:hint="eastAsia" w:ascii="仿宋_GB2312" w:hAnsi="仿宋_GB2312" w:eastAsia="仿宋_GB2312" w:cs="仿宋_GB2312"/>
                <w:b/>
                <w:bCs/>
                <w:i w:val="0"/>
                <w:iCs w:val="0"/>
                <w:color w:val="000000"/>
                <w:kern w:val="0"/>
                <w:sz w:val="21"/>
                <w:szCs w:val="21"/>
                <w:u w:val="none"/>
                <w:lang w:val="en-US" w:eastAsia="zh-CN" w:bidi="ar"/>
              </w:rPr>
              <w:t>（万元/年）</w:t>
            </w:r>
          </w:p>
        </w:tc>
        <w:tc>
          <w:tcPr>
            <w:tcW w:w="324" w:type="pct"/>
            <w:vMerge w:val="continue"/>
            <w:shd w:val="clear" w:color="auto" w:fill="auto"/>
            <w:vAlign w:val="center"/>
          </w:tcPr>
          <w:p>
            <w:pPr>
              <w:jc w:val="center"/>
              <w:rPr>
                <w:rFonts w:hint="eastAsia" w:ascii="仿宋_GB2312" w:hAnsi="仿宋_GB2312" w:eastAsia="仿宋_GB2312" w:cs="仿宋_GB2312"/>
                <w:i w:val="0"/>
                <w:iCs w:val="0"/>
                <w:color w:val="00000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1</w:t>
            </w: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红草镇</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区住建局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rPr>
            </w:pPr>
            <w:r>
              <w:rPr>
                <w:rFonts w:hint="eastAsia" w:ascii="仿宋_GB2312" w:hAnsi="仿宋_GB2312" w:eastAsia="仿宋_GB2312" w:cs="仿宋_GB2312"/>
                <w:i w:val="0"/>
                <w:iCs w:val="0"/>
                <w:color w:val="000000"/>
                <w:kern w:val="0"/>
                <w:sz w:val="21"/>
                <w:szCs w:val="21"/>
                <w:highlight w:val="none"/>
                <w:u w:val="none"/>
                <w:lang w:val="en-US" w:eastAsia="zh-CN" w:bidi="ar"/>
              </w:rPr>
              <w:t>PPP</w:t>
            </w:r>
          </w:p>
        </w:tc>
        <w:tc>
          <w:tcPr>
            <w:tcW w:w="32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2328.7</w:t>
            </w:r>
          </w:p>
        </w:tc>
        <w:tc>
          <w:tcPr>
            <w:tcW w:w="30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35.2</w:t>
            </w:r>
          </w:p>
        </w:tc>
        <w:tc>
          <w:tcPr>
            <w:tcW w:w="230"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10.14</w:t>
            </w:r>
          </w:p>
        </w:tc>
        <w:tc>
          <w:tcPr>
            <w:tcW w:w="24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3693.49</w:t>
            </w:r>
          </w:p>
        </w:tc>
        <w:tc>
          <w:tcPr>
            <w:tcW w:w="293"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6067.53</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设施及污水主管网</w:t>
            </w:r>
          </w:p>
        </w:tc>
        <w:tc>
          <w:tcPr>
            <w:tcW w:w="430" w:type="pct"/>
            <w:shd w:val="clear" w:color="auto" w:fill="auto"/>
            <w:noWrap/>
            <w:vAlign w:val="center"/>
          </w:tcPr>
          <w:p>
            <w:pPr>
              <w:pStyle w:val="2"/>
              <w:ind w:left="0" w:leftChars="0" w:firstLine="0" w:firstLineChars="0"/>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第三方运维</w:t>
            </w:r>
          </w:p>
        </w:tc>
        <w:tc>
          <w:tcPr>
            <w:tcW w:w="25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26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324"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6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58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区农业农村和水利局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EPC</w:t>
            </w:r>
          </w:p>
        </w:tc>
        <w:tc>
          <w:tcPr>
            <w:tcW w:w="32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0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3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雨污分流管网</w:t>
            </w: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6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24"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2</w:t>
            </w: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捷胜镇</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sz w:val="21"/>
                <w:szCs w:val="21"/>
                <w:highlight w:val="none"/>
                <w:u w:val="none"/>
                <w:lang w:val="en-US" w:eastAsia="zh-CN"/>
              </w:rPr>
              <w:t>区住建局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PPP</w:t>
            </w:r>
          </w:p>
        </w:tc>
        <w:tc>
          <w:tcPr>
            <w:tcW w:w="327"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2256.32</w:t>
            </w:r>
          </w:p>
        </w:tc>
        <w:tc>
          <w:tcPr>
            <w:tcW w:w="293"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0"/>
                <w:sz w:val="21"/>
                <w:szCs w:val="21"/>
                <w:u w:val="none"/>
                <w:lang w:val="en-US" w:eastAsia="zh-CN" w:bidi="ar"/>
              </w:rPr>
              <w:t>2256.32</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设施及污水主管网</w:t>
            </w:r>
          </w:p>
        </w:tc>
        <w:tc>
          <w:tcPr>
            <w:tcW w:w="430" w:type="pct"/>
            <w:shd w:val="clear" w:color="auto" w:fill="auto"/>
            <w:noWrap/>
            <w:vAlign w:val="center"/>
          </w:tcPr>
          <w:p>
            <w:pPr>
              <w:pStyle w:val="2"/>
              <w:ind w:left="0" w:leftChars="0" w:firstLine="0" w:firstLineChars="0"/>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第三方运维</w:t>
            </w:r>
          </w:p>
        </w:tc>
        <w:tc>
          <w:tcPr>
            <w:tcW w:w="25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26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324"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6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58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区农业农村和水利局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EPC</w:t>
            </w:r>
          </w:p>
        </w:tc>
        <w:tc>
          <w:tcPr>
            <w:tcW w:w="32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0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3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雨污分流管网</w:t>
            </w: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6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24"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3</w:t>
            </w: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东涌镇</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sz w:val="21"/>
                <w:szCs w:val="21"/>
                <w:highlight w:val="none"/>
                <w:u w:val="none"/>
                <w:lang w:val="en-US" w:eastAsia="zh-CN"/>
              </w:rPr>
              <w:t>区住建局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PPP</w:t>
            </w:r>
          </w:p>
        </w:tc>
        <w:tc>
          <w:tcPr>
            <w:tcW w:w="32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54.19</w:t>
            </w:r>
          </w:p>
        </w:tc>
        <w:tc>
          <w:tcPr>
            <w:tcW w:w="24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5031.58</w:t>
            </w:r>
          </w:p>
        </w:tc>
        <w:tc>
          <w:tcPr>
            <w:tcW w:w="293"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5085.77</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设施及污水主管网</w:t>
            </w:r>
          </w:p>
        </w:tc>
        <w:tc>
          <w:tcPr>
            <w:tcW w:w="430" w:type="pct"/>
            <w:shd w:val="clear" w:color="auto" w:fill="auto"/>
            <w:noWrap/>
            <w:vAlign w:val="center"/>
          </w:tcPr>
          <w:p>
            <w:pPr>
              <w:pStyle w:val="2"/>
              <w:ind w:left="0" w:leftChars="0" w:firstLine="0" w:firstLineChars="0"/>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第三方运维</w:t>
            </w:r>
          </w:p>
        </w:tc>
        <w:tc>
          <w:tcPr>
            <w:tcW w:w="25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26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324"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6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58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区农业农村和水利局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EPC</w:t>
            </w:r>
          </w:p>
        </w:tc>
        <w:tc>
          <w:tcPr>
            <w:tcW w:w="32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雨污分流管网</w:t>
            </w: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6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24"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4</w:t>
            </w: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马宫街道</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sz w:val="21"/>
                <w:szCs w:val="21"/>
                <w:highlight w:val="none"/>
                <w:u w:val="none"/>
                <w:lang w:val="en-US" w:eastAsia="zh-CN"/>
              </w:rPr>
              <w:t>区住建局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rPr>
            </w:pPr>
            <w:r>
              <w:rPr>
                <w:rFonts w:hint="eastAsia" w:ascii="仿宋_GB2312" w:hAnsi="仿宋_GB2312" w:eastAsia="仿宋_GB2312" w:cs="仿宋_GB2312"/>
                <w:i w:val="0"/>
                <w:iCs w:val="0"/>
                <w:color w:val="000000"/>
                <w:kern w:val="0"/>
                <w:sz w:val="21"/>
                <w:szCs w:val="21"/>
                <w:highlight w:val="none"/>
                <w:u w:val="none"/>
                <w:lang w:val="en-US" w:eastAsia="zh-CN" w:bidi="ar"/>
              </w:rPr>
              <w:t>PPP</w:t>
            </w:r>
          </w:p>
        </w:tc>
        <w:tc>
          <w:tcPr>
            <w:tcW w:w="32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56.1</w:t>
            </w:r>
          </w:p>
        </w:tc>
        <w:tc>
          <w:tcPr>
            <w:tcW w:w="23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1728.06</w:t>
            </w:r>
          </w:p>
        </w:tc>
        <w:tc>
          <w:tcPr>
            <w:tcW w:w="293" w:type="pct"/>
            <w:vMerge w:val="restar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3"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2"/>
                <w:sz w:val="21"/>
                <w:szCs w:val="21"/>
                <w:u w:val="none"/>
                <w:lang w:val="en-US" w:eastAsia="zh-CN" w:bidi="ar-SA"/>
              </w:rPr>
            </w:pPr>
            <w:r>
              <w:rPr>
                <w:rFonts w:hint="eastAsia" w:ascii="仿宋_GB2312" w:hAnsi="仿宋_GB2312" w:eastAsia="仿宋_GB2312" w:cs="仿宋_GB2312"/>
                <w:i w:val="0"/>
                <w:iCs w:val="0"/>
                <w:color w:val="000000"/>
                <w:kern w:val="2"/>
                <w:sz w:val="21"/>
                <w:szCs w:val="21"/>
                <w:u w:val="none"/>
                <w:lang w:val="en-US" w:eastAsia="zh-CN" w:bidi="ar-SA"/>
              </w:rPr>
              <w:t>1784.16</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设施及污水主管网</w:t>
            </w:r>
          </w:p>
        </w:tc>
        <w:tc>
          <w:tcPr>
            <w:tcW w:w="430" w:type="pct"/>
            <w:shd w:val="clear" w:color="auto" w:fill="auto"/>
            <w:noWrap/>
            <w:vAlign w:val="center"/>
          </w:tcPr>
          <w:p>
            <w:pPr>
              <w:pStyle w:val="2"/>
              <w:ind w:left="0" w:leftChars="0" w:firstLine="0" w:firstLineChars="0"/>
              <w:jc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第三方运维</w:t>
            </w:r>
          </w:p>
        </w:tc>
        <w:tc>
          <w:tcPr>
            <w:tcW w:w="250"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267"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324" w:type="pct"/>
            <w:vMerge w:val="restar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9" w:hRule="atLeast"/>
          <w:jc w:val="center"/>
        </w:trPr>
        <w:tc>
          <w:tcPr>
            <w:tcW w:w="1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26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rPr>
            </w:pPr>
          </w:p>
        </w:tc>
        <w:tc>
          <w:tcPr>
            <w:tcW w:w="58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区农业农村和水利局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none"/>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EPC</w:t>
            </w:r>
          </w:p>
        </w:tc>
        <w:tc>
          <w:tcPr>
            <w:tcW w:w="32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9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43"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r>
              <w:rPr>
                <w:rFonts w:hint="eastAsia" w:ascii="仿宋_GB2312" w:hAnsi="仿宋_GB2312" w:eastAsia="仿宋_GB2312" w:cs="仿宋_GB2312"/>
                <w:i w:val="0"/>
                <w:iCs w:val="0"/>
                <w:color w:val="000000"/>
                <w:sz w:val="21"/>
                <w:szCs w:val="21"/>
                <w:highlight w:val="none"/>
                <w:u w:val="none"/>
                <w:lang w:val="en-US" w:eastAsia="zh-CN"/>
              </w:rPr>
              <w:t>雨污分流管网</w:t>
            </w: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267"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c>
          <w:tcPr>
            <w:tcW w:w="324" w:type="pct"/>
            <w:vMerge w:val="continue"/>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48" w:hRule="atLeast"/>
          <w:jc w:val="center"/>
        </w:trPr>
        <w:tc>
          <w:tcPr>
            <w:tcW w:w="1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5</w:t>
            </w: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新港街道</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yellow"/>
                <w:u w:val="none"/>
              </w:rPr>
            </w:pP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p>
        </w:tc>
        <w:tc>
          <w:tcPr>
            <w:tcW w:w="32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93" w:type="pc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243" w:type="pc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474" w:type="pct"/>
            <w:shd w:val="clear" w:color="auto" w:fill="auto"/>
            <w:noWrap/>
            <w:vAlign w:val="center"/>
          </w:tcPr>
          <w:p>
            <w:pPr>
              <w:jc w:val="center"/>
              <w:rPr>
                <w:rFonts w:hint="eastAsia" w:ascii="仿宋_GB2312" w:hAnsi="仿宋_GB2312" w:eastAsia="仿宋_GB2312" w:cs="仿宋_GB2312"/>
                <w:i w:val="0"/>
                <w:iCs w:val="0"/>
                <w:color w:val="000000"/>
                <w:kern w:val="0"/>
                <w:sz w:val="21"/>
                <w:szCs w:val="21"/>
                <w:u w:val="none"/>
                <w:lang w:val="en-US" w:eastAsia="zh-CN" w:bidi="ar"/>
              </w:rPr>
            </w:pP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67"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2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48" w:hRule="atLeast"/>
          <w:jc w:val="center"/>
        </w:trPr>
        <w:tc>
          <w:tcPr>
            <w:tcW w:w="1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6</w:t>
            </w: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香洲街道</w:t>
            </w:r>
          </w:p>
        </w:tc>
        <w:tc>
          <w:tcPr>
            <w:tcW w:w="58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r>
              <w:rPr>
                <w:rFonts w:hint="eastAsia" w:ascii="仿宋_GB2312" w:hAnsi="仿宋_GB2312" w:eastAsia="仿宋_GB2312" w:cs="仿宋_GB2312"/>
                <w:i w:val="0"/>
                <w:iCs w:val="0"/>
                <w:color w:val="000000"/>
                <w:sz w:val="21"/>
                <w:szCs w:val="21"/>
                <w:highlight w:val="none"/>
                <w:u w:val="none"/>
                <w:lang w:val="en-US" w:eastAsia="zh-CN"/>
              </w:rPr>
              <w:t>区农业农村和水利局</w:t>
            </w: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r>
              <w:rPr>
                <w:rFonts w:hint="eastAsia" w:ascii="仿宋_GB2312" w:hAnsi="仿宋_GB2312" w:eastAsia="仿宋_GB2312" w:cs="仿宋_GB2312"/>
                <w:i w:val="0"/>
                <w:iCs w:val="0"/>
                <w:color w:val="000000"/>
                <w:sz w:val="21"/>
                <w:szCs w:val="21"/>
                <w:highlight w:val="none"/>
                <w:u w:val="none"/>
                <w:lang w:val="en-US" w:eastAsia="zh-CN"/>
              </w:rPr>
              <w:t>EPC</w:t>
            </w:r>
          </w:p>
        </w:tc>
        <w:tc>
          <w:tcPr>
            <w:tcW w:w="32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224.89</w:t>
            </w:r>
          </w:p>
        </w:tc>
        <w:tc>
          <w:tcPr>
            <w:tcW w:w="2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224.89</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267" w:type="pct"/>
            <w:shd w:val="clear" w:color="auto" w:fill="auto"/>
            <w:noWrap/>
            <w:vAlign w:val="center"/>
          </w:tcPr>
          <w:p>
            <w:pPr>
              <w:jc w:val="center"/>
              <w:rPr>
                <w:rFonts w:hint="eastAsia" w:ascii="仿宋_GB2312" w:hAnsi="仿宋_GB2312" w:eastAsia="仿宋_GB2312" w:cs="仿宋_GB2312"/>
                <w:i w:val="0"/>
                <w:iCs w:val="0"/>
                <w:color w:val="000000"/>
                <w:sz w:val="21"/>
                <w:szCs w:val="21"/>
                <w:u w:val="none"/>
              </w:rPr>
            </w:pPr>
          </w:p>
        </w:tc>
        <w:tc>
          <w:tcPr>
            <w:tcW w:w="32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48" w:hRule="atLeast"/>
          <w:jc w:val="center"/>
        </w:trPr>
        <w:tc>
          <w:tcPr>
            <w:tcW w:w="1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7</w:t>
            </w: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城区</w:t>
            </w:r>
          </w:p>
        </w:tc>
        <w:tc>
          <w:tcPr>
            <w:tcW w:w="26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凤山街道</w:t>
            </w:r>
          </w:p>
        </w:tc>
        <w:tc>
          <w:tcPr>
            <w:tcW w:w="581" w:type="pct"/>
            <w:shd w:val="clear" w:color="auto" w:fill="auto"/>
            <w:noWrap/>
            <w:vAlign w:val="center"/>
          </w:tcPr>
          <w:p>
            <w:pPr>
              <w:jc w:val="center"/>
              <w:rPr>
                <w:rFonts w:hint="eastAsia" w:ascii="仿宋_GB2312" w:hAnsi="仿宋_GB2312" w:eastAsia="仿宋_GB2312" w:cs="仿宋_GB2312"/>
                <w:i w:val="0"/>
                <w:iCs w:val="0"/>
                <w:color w:val="000000"/>
                <w:sz w:val="21"/>
                <w:szCs w:val="21"/>
                <w:highlight w:val="yellow"/>
                <w:u w:val="none"/>
                <w:lang w:val="en-US" w:eastAsia="zh-CN"/>
              </w:rPr>
            </w:pPr>
          </w:p>
        </w:tc>
        <w:tc>
          <w:tcPr>
            <w:tcW w:w="332"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highlight w:val="yellow"/>
                <w:u w:val="none"/>
              </w:rPr>
            </w:pPr>
          </w:p>
        </w:tc>
        <w:tc>
          <w:tcPr>
            <w:tcW w:w="32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30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4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2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村民自行运维</w:t>
            </w:r>
          </w:p>
        </w:tc>
        <w:tc>
          <w:tcPr>
            <w:tcW w:w="25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26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rPr>
            </w:pPr>
          </w:p>
        </w:tc>
        <w:tc>
          <w:tcPr>
            <w:tcW w:w="32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r>
              <w:rPr>
                <w:rFonts w:hint="eastAsia" w:ascii="仿宋_GB2312" w:hAnsi="仿宋_GB2312" w:eastAsia="仿宋_GB2312" w:cs="仿宋_GB2312"/>
                <w:i w:val="0"/>
                <w:iCs w:val="0"/>
                <w:color w:val="000000"/>
                <w:kern w:val="0"/>
                <w:sz w:val="21"/>
                <w:szCs w:val="21"/>
                <w:u w:val="none"/>
                <w:lang w:val="en-US" w:eastAsia="zh-CN" w:bidi="ar"/>
              </w:rPr>
              <w:t>地方财政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0" w:hRule="atLeast"/>
          <w:jc w:val="center"/>
        </w:trPr>
        <w:tc>
          <w:tcPr>
            <w:tcW w:w="1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bookmarkStart w:id="358" w:name="OLE_LINK27" w:colFirst="2" w:colLast="5"/>
            <w:bookmarkStart w:id="359" w:name="OLE_LINK25" w:colFirst="9" w:colLast="10"/>
            <w:r>
              <w:rPr>
                <w:rFonts w:hint="eastAsia" w:ascii="仿宋_GB2312" w:hAnsi="仿宋_GB2312" w:eastAsia="仿宋_GB2312" w:cs="仿宋_GB2312"/>
                <w:i w:val="0"/>
                <w:iCs w:val="0"/>
                <w:color w:val="000000"/>
                <w:kern w:val="0"/>
                <w:sz w:val="21"/>
                <w:szCs w:val="21"/>
                <w:u w:val="none"/>
                <w:lang w:val="en-US" w:eastAsia="zh-CN" w:bidi="ar"/>
              </w:rPr>
              <w:t>8</w:t>
            </w:r>
          </w:p>
        </w:tc>
        <w:tc>
          <w:tcPr>
            <w:tcW w:w="1420" w:type="pct"/>
            <w:gridSpan w:val="4"/>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合计</w:t>
            </w:r>
          </w:p>
        </w:tc>
        <w:tc>
          <w:tcPr>
            <w:tcW w:w="32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2328.7</w:t>
            </w:r>
          </w:p>
        </w:tc>
        <w:tc>
          <w:tcPr>
            <w:tcW w:w="30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91.3</w:t>
            </w:r>
          </w:p>
        </w:tc>
        <w:tc>
          <w:tcPr>
            <w:tcW w:w="2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64.33</w:t>
            </w:r>
          </w:p>
        </w:tc>
        <w:tc>
          <w:tcPr>
            <w:tcW w:w="241"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kern w:val="0"/>
                <w:sz w:val="21"/>
                <w:szCs w:val="21"/>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12934.34</w:t>
            </w:r>
          </w:p>
        </w:tc>
        <w:tc>
          <w:tcPr>
            <w:tcW w:w="29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243"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sz w:val="21"/>
                <w:szCs w:val="21"/>
                <w:u w:val="none"/>
                <w:lang w:val="en-US" w:eastAsia="zh-CN"/>
              </w:rPr>
              <w:t>15418.67</w:t>
            </w:r>
          </w:p>
        </w:tc>
        <w:tc>
          <w:tcPr>
            <w:tcW w:w="47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p>
        </w:tc>
        <w:tc>
          <w:tcPr>
            <w:tcW w:w="43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c>
          <w:tcPr>
            <w:tcW w:w="250"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3950</w:t>
            </w:r>
          </w:p>
        </w:tc>
        <w:tc>
          <w:tcPr>
            <w:tcW w:w="267"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lang w:val="en-US" w:eastAsia="zh-CN"/>
              </w:rPr>
            </w:pPr>
            <w:r>
              <w:rPr>
                <w:rFonts w:hint="eastAsia" w:ascii="仿宋_GB2312" w:hAnsi="仿宋_GB2312" w:eastAsia="仿宋_GB2312" w:cs="仿宋_GB2312"/>
                <w:i w:val="0"/>
                <w:iCs w:val="0"/>
                <w:color w:val="000000"/>
                <w:kern w:val="0"/>
                <w:sz w:val="21"/>
                <w:szCs w:val="21"/>
                <w:u w:val="none"/>
                <w:lang w:val="en-US" w:eastAsia="zh-CN" w:bidi="ar"/>
              </w:rPr>
              <w:t>574.48</w:t>
            </w:r>
          </w:p>
        </w:tc>
        <w:tc>
          <w:tcPr>
            <w:tcW w:w="324" w:type="pct"/>
            <w:shd w:val="clear" w:color="auto" w:fill="auto"/>
            <w:noWrap/>
            <w:vAlign w:val="center"/>
          </w:tcPr>
          <w:p>
            <w:pPr>
              <w:keepNext w:val="0"/>
              <w:keepLines w:val="0"/>
              <w:widowControl/>
              <w:suppressLineNumbers w:val="0"/>
              <w:jc w:val="center"/>
              <w:textAlignment w:val="center"/>
              <w:rPr>
                <w:rFonts w:hint="eastAsia" w:ascii="仿宋_GB2312" w:hAnsi="仿宋_GB2312" w:eastAsia="仿宋_GB2312" w:cs="仿宋_GB2312"/>
                <w:i w:val="0"/>
                <w:iCs w:val="0"/>
                <w:color w:val="000000"/>
                <w:sz w:val="21"/>
                <w:szCs w:val="21"/>
                <w:u w:val="none"/>
              </w:rPr>
            </w:pPr>
          </w:p>
        </w:tc>
      </w:tr>
      <w:bookmarkEnd w:id="358"/>
      <w:bookmarkEnd w:id="359"/>
    </w:tbl>
    <w:p>
      <w:pPr>
        <w:rPr>
          <w:rFonts w:hint="eastAsia" w:ascii="仿宋_GB2312" w:hAnsi="仿宋_GB2312" w:eastAsia="仿宋_GB2312" w:cs="仿宋_GB2312"/>
          <w:lang w:val="en-US" w:eastAsia="zh-CN"/>
        </w:rPr>
      </w:pPr>
    </w:p>
    <w:bookmarkEnd w:id="360"/>
    <w:sectPr>
      <w:pgSz w:w="23811" w:h="16838" w:orient="landscape"/>
      <w:pgMar w:top="1440" w:right="1800" w:bottom="1440" w:left="1800" w:header="851" w:footer="992" w:gutter="0"/>
      <w:pgBorders>
        <w:top w:val="none" w:sz="0" w:space="0"/>
        <w:left w:val="none" w:sz="0" w:space="0"/>
        <w:bottom w:val="none" w:sz="0" w:space="0"/>
        <w:right w:val="none" w:sz="0" w:space="0"/>
      </w:pgBorders>
      <w:pgNumType w:fmt="numberInDash"/>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7A"/>
    <w:family w:val="auto"/>
    <w:pitch w:val="default"/>
    <w:sig w:usb0="00000000" w:usb1="00000000" w:usb2="00000009" w:usb3="00000000" w:csb0="400001FF" w:csb1="FFFF0000"/>
  </w:font>
  <w:font w:name="宋体">
    <w:altName w:val="方正书宋_GBK"/>
    <w:panose1 w:val="02010600030101010101"/>
    <w:charset w:val="7A"/>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等线">
    <w:altName w:val="汉仪中宋简"/>
    <w:panose1 w:val="02010600030101010101"/>
    <w:charset w:val="86"/>
    <w:family w:val="auto"/>
    <w:pitch w:val="default"/>
    <w:sig w:usb0="00000000" w:usb1="00000000" w:usb2="00000016" w:usb3="00000000" w:csb0="0004000F" w:csb1="00000000"/>
  </w:font>
  <w:font w:name="等线 Light">
    <w:altName w:val="汉仪中宋简"/>
    <w:panose1 w:val="02010600030101010101"/>
    <w:charset w:val="86"/>
    <w:family w:val="auto"/>
    <w:pitch w:val="default"/>
    <w:sig w:usb0="00000000" w:usb1="00000000" w:usb2="00000016" w:usb3="00000000" w:csb0="0004000F" w:csb1="00000000"/>
  </w:font>
  <w:font w:name="Tahoma">
    <w:altName w:val="DejaVu Sans"/>
    <w:panose1 w:val="020B0604030504040204"/>
    <w:charset w:val="00"/>
    <w:family w:val="auto"/>
    <w:pitch w:val="default"/>
    <w:sig w:usb0="00000000" w:usb1="00000000" w:usb2="00000029" w:usb3="00000000" w:csb0="200101FF" w:csb1="20280000"/>
  </w:font>
  <w:font w:name="方正小标宋简体">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等线">
    <w:altName w:val="仿宋_GB2312"/>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等线 Light">
    <w:altName w:val="仿宋_GB2312"/>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Arial">
    <w:altName w:val="DejaVu Sans"/>
    <w:panose1 w:val="00000000000000000000"/>
    <w:charset w:val="00"/>
    <w:family w:val="auto"/>
    <w:pitch w:val="default"/>
    <w:sig w:usb0="00000000" w:usb1="00000000" w:usb2="00000000" w:usb3="00000000" w:csb0="00000000" w:csb1="00000000"/>
  </w:font>
  <w:font w:name="汉仪中宋简">
    <w:panose1 w:val="02010600000101010101"/>
    <w:charset w:val="86"/>
    <w:family w:val="auto"/>
    <w:pitch w:val="default"/>
    <w:sig w:usb0="00000001" w:usb1="080E0800" w:usb2="00000002" w:usb3="00000000" w:csb0="00040000" w:csb1="00000000"/>
  </w:font>
  <w:font w:name="CESI仿宋-GB2312">
    <w:panose1 w:val="02000500000000000000"/>
    <w:charset w:val="86"/>
    <w:family w:val="auto"/>
    <w:pitch w:val="default"/>
    <w:sig w:usb0="800002AF" w:usb1="084F6CF8" w:usb2="00000010"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fldChar w:fldCharType="begin"/>
                          </w:r>
                          <w:r>
                            <w:rPr>
                              <w:rFonts w:hint="eastAsia" w:ascii="仿宋_GB2312" w:hAnsi="仿宋_GB2312" w:eastAsia="仿宋_GB2312" w:cs="仿宋_GB2312"/>
                              <w:sz w:val="28"/>
                              <w:szCs w:val="28"/>
                            </w:rPr>
                            <w:instrText xml:space="preserve"> PAGE  \* MERGEFORMAT </w:instrText>
                          </w:r>
                          <w:r>
                            <w:rPr>
                              <w:rFonts w:hint="eastAsia" w:ascii="仿宋_GB2312" w:hAnsi="仿宋_GB2312" w:eastAsia="仿宋_GB2312" w:cs="仿宋_GB2312"/>
                              <w:sz w:val="28"/>
                              <w:szCs w:val="28"/>
                            </w:rPr>
                            <w:fldChar w:fldCharType="separate"/>
                          </w:r>
                          <w:r>
                            <w:rPr>
                              <w:rFonts w:hint="eastAsia" w:ascii="仿宋_GB2312" w:hAnsi="仿宋_GB2312" w:eastAsia="仿宋_GB2312" w:cs="仿宋_GB2312"/>
                              <w:sz w:val="28"/>
                              <w:szCs w:val="28"/>
                            </w:rPr>
                            <w:t>7</w:t>
                          </w:r>
                          <w:r>
                            <w:rPr>
                              <w:rFonts w:hint="eastAsia" w:ascii="仿宋_GB2312" w:hAnsi="仿宋_GB2312" w:eastAsia="仿宋_GB2312" w:cs="仿宋_GB2312"/>
                              <w:sz w:val="28"/>
                              <w:szCs w:val="28"/>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8FiLyGwIAACk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A8FiLyGwIAACkEAAAOAAAAAAAAAAEAIAAAADUBAABkcnMvZTJvRG9jLnhtbFBLBQYA&#10;AAAABgAGAFkBAADCBQAAAAA=&#10;">
              <v:fill on="f" focussize="0,0"/>
              <v:stroke on="f" weight="0.5pt"/>
              <v:imagedata o:title=""/>
              <o:lock v:ext="edit" aspectratio="f"/>
              <v:textbox inset="0mm,0mm,0mm,0mm" style="mso-fit-shape-to-text:t;">
                <w:txbxContent>
                  <w:p>
                    <w:pPr>
                      <w:pStyle w:val="13"/>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fldChar w:fldCharType="begin"/>
                    </w:r>
                    <w:r>
                      <w:rPr>
                        <w:rFonts w:hint="eastAsia" w:ascii="仿宋_GB2312" w:hAnsi="仿宋_GB2312" w:eastAsia="仿宋_GB2312" w:cs="仿宋_GB2312"/>
                        <w:sz w:val="28"/>
                        <w:szCs w:val="28"/>
                      </w:rPr>
                      <w:instrText xml:space="preserve"> PAGE  \* MERGEFORMAT </w:instrText>
                    </w:r>
                    <w:r>
                      <w:rPr>
                        <w:rFonts w:hint="eastAsia" w:ascii="仿宋_GB2312" w:hAnsi="仿宋_GB2312" w:eastAsia="仿宋_GB2312" w:cs="仿宋_GB2312"/>
                        <w:sz w:val="28"/>
                        <w:szCs w:val="28"/>
                      </w:rPr>
                      <w:fldChar w:fldCharType="separate"/>
                    </w:r>
                    <w:r>
                      <w:rPr>
                        <w:rFonts w:hint="eastAsia" w:ascii="仿宋_GB2312" w:hAnsi="仿宋_GB2312" w:eastAsia="仿宋_GB2312" w:cs="仿宋_GB2312"/>
                        <w:sz w:val="28"/>
                        <w:szCs w:val="28"/>
                      </w:rPr>
                      <w:t>7</w:t>
                    </w:r>
                    <w:r>
                      <w:rPr>
                        <w:rFonts w:hint="eastAsia" w:ascii="仿宋_GB2312" w:hAnsi="仿宋_GB2312" w:eastAsia="仿宋_GB2312" w:cs="仿宋_GB2312"/>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4"/>
  <w:bordersDoNotSurroundHeader w:val="false"/>
  <w:bordersDoNotSurroundFooter w:val="false"/>
  <w:hideSpellingErrors/>
  <w:documentProtection w:enforcement="0"/>
  <w:defaultTabStop w:val="420"/>
  <w:drawingGridVerticalSpacing w:val="159"/>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RiMDRkY2IzMzRlY2NhNGM0NDQ2NWM0MjI4MTExNTMifQ=="/>
  </w:docVars>
  <w:rsids>
    <w:rsidRoot w:val="00F46763"/>
    <w:rsid w:val="00032BAD"/>
    <w:rsid w:val="00042432"/>
    <w:rsid w:val="00065D92"/>
    <w:rsid w:val="00095769"/>
    <w:rsid w:val="000A6624"/>
    <w:rsid w:val="000B3736"/>
    <w:rsid w:val="000B7EF9"/>
    <w:rsid w:val="000C2DF7"/>
    <w:rsid w:val="000E1EE1"/>
    <w:rsid w:val="000E3FCE"/>
    <w:rsid w:val="0010433A"/>
    <w:rsid w:val="00141401"/>
    <w:rsid w:val="0014468E"/>
    <w:rsid w:val="001634C0"/>
    <w:rsid w:val="00171AE1"/>
    <w:rsid w:val="00181F23"/>
    <w:rsid w:val="001A1F13"/>
    <w:rsid w:val="001B3FA7"/>
    <w:rsid w:val="001B426B"/>
    <w:rsid w:val="001B4A77"/>
    <w:rsid w:val="001D7AF9"/>
    <w:rsid w:val="001F4D8B"/>
    <w:rsid w:val="00205A72"/>
    <w:rsid w:val="00221332"/>
    <w:rsid w:val="002216AB"/>
    <w:rsid w:val="002265C4"/>
    <w:rsid w:val="0023159F"/>
    <w:rsid w:val="00247BDB"/>
    <w:rsid w:val="00250FEE"/>
    <w:rsid w:val="0025186B"/>
    <w:rsid w:val="002549D5"/>
    <w:rsid w:val="00262C90"/>
    <w:rsid w:val="00272C0E"/>
    <w:rsid w:val="0027797E"/>
    <w:rsid w:val="002948F2"/>
    <w:rsid w:val="002A1890"/>
    <w:rsid w:val="002B04D4"/>
    <w:rsid w:val="002D3EE8"/>
    <w:rsid w:val="002D5228"/>
    <w:rsid w:val="002E364B"/>
    <w:rsid w:val="002F1B59"/>
    <w:rsid w:val="00304EA4"/>
    <w:rsid w:val="00307320"/>
    <w:rsid w:val="00313B9C"/>
    <w:rsid w:val="0031754A"/>
    <w:rsid w:val="0034692E"/>
    <w:rsid w:val="003520DB"/>
    <w:rsid w:val="00355ED5"/>
    <w:rsid w:val="00362C9E"/>
    <w:rsid w:val="00372A81"/>
    <w:rsid w:val="00385F64"/>
    <w:rsid w:val="003A2E9A"/>
    <w:rsid w:val="003B6B14"/>
    <w:rsid w:val="003C00E6"/>
    <w:rsid w:val="003F55C1"/>
    <w:rsid w:val="0042346C"/>
    <w:rsid w:val="00466FFC"/>
    <w:rsid w:val="004678C6"/>
    <w:rsid w:val="00474DF0"/>
    <w:rsid w:val="004908E3"/>
    <w:rsid w:val="004A1721"/>
    <w:rsid w:val="004C796E"/>
    <w:rsid w:val="004D0FDB"/>
    <w:rsid w:val="004D5320"/>
    <w:rsid w:val="004E08A5"/>
    <w:rsid w:val="004F02A2"/>
    <w:rsid w:val="004F16DE"/>
    <w:rsid w:val="005515A3"/>
    <w:rsid w:val="00553013"/>
    <w:rsid w:val="005631CC"/>
    <w:rsid w:val="0058296F"/>
    <w:rsid w:val="005926AE"/>
    <w:rsid w:val="00593DD1"/>
    <w:rsid w:val="005B6AF9"/>
    <w:rsid w:val="005C581A"/>
    <w:rsid w:val="005D3112"/>
    <w:rsid w:val="005D4603"/>
    <w:rsid w:val="005D740E"/>
    <w:rsid w:val="005F7AAD"/>
    <w:rsid w:val="006027AB"/>
    <w:rsid w:val="006036B7"/>
    <w:rsid w:val="00621F2D"/>
    <w:rsid w:val="00627AE1"/>
    <w:rsid w:val="00640572"/>
    <w:rsid w:val="006435E5"/>
    <w:rsid w:val="00671FE5"/>
    <w:rsid w:val="00675469"/>
    <w:rsid w:val="00676877"/>
    <w:rsid w:val="00690566"/>
    <w:rsid w:val="00690F6F"/>
    <w:rsid w:val="0069321D"/>
    <w:rsid w:val="006A5B21"/>
    <w:rsid w:val="006D187E"/>
    <w:rsid w:val="006D564A"/>
    <w:rsid w:val="00706402"/>
    <w:rsid w:val="007256A9"/>
    <w:rsid w:val="007268DF"/>
    <w:rsid w:val="00727864"/>
    <w:rsid w:val="00746ACA"/>
    <w:rsid w:val="007B112A"/>
    <w:rsid w:val="007C2CB4"/>
    <w:rsid w:val="007C56B4"/>
    <w:rsid w:val="007D00FB"/>
    <w:rsid w:val="007D5EA7"/>
    <w:rsid w:val="007D6140"/>
    <w:rsid w:val="007F099A"/>
    <w:rsid w:val="008023EB"/>
    <w:rsid w:val="00814A60"/>
    <w:rsid w:val="00817E85"/>
    <w:rsid w:val="008227C3"/>
    <w:rsid w:val="00836D9B"/>
    <w:rsid w:val="0084329E"/>
    <w:rsid w:val="008606B8"/>
    <w:rsid w:val="00866172"/>
    <w:rsid w:val="00872204"/>
    <w:rsid w:val="0089047F"/>
    <w:rsid w:val="008B0E6B"/>
    <w:rsid w:val="008B5206"/>
    <w:rsid w:val="008C1535"/>
    <w:rsid w:val="008C7DEF"/>
    <w:rsid w:val="008D76DD"/>
    <w:rsid w:val="0091628C"/>
    <w:rsid w:val="009203D3"/>
    <w:rsid w:val="009308F1"/>
    <w:rsid w:val="00933CD1"/>
    <w:rsid w:val="009422B3"/>
    <w:rsid w:val="00944182"/>
    <w:rsid w:val="00953733"/>
    <w:rsid w:val="009712E0"/>
    <w:rsid w:val="00975ABB"/>
    <w:rsid w:val="0098058C"/>
    <w:rsid w:val="00990CBD"/>
    <w:rsid w:val="009A0A24"/>
    <w:rsid w:val="009A12B0"/>
    <w:rsid w:val="009B0669"/>
    <w:rsid w:val="009B1851"/>
    <w:rsid w:val="009C44D1"/>
    <w:rsid w:val="009D4BF7"/>
    <w:rsid w:val="009D5B20"/>
    <w:rsid w:val="009F1B8D"/>
    <w:rsid w:val="009F33A6"/>
    <w:rsid w:val="00A04043"/>
    <w:rsid w:val="00A12663"/>
    <w:rsid w:val="00A676FB"/>
    <w:rsid w:val="00A80064"/>
    <w:rsid w:val="00A90F00"/>
    <w:rsid w:val="00A912EB"/>
    <w:rsid w:val="00A91C39"/>
    <w:rsid w:val="00A92C89"/>
    <w:rsid w:val="00AD388D"/>
    <w:rsid w:val="00AE0265"/>
    <w:rsid w:val="00AF4C04"/>
    <w:rsid w:val="00B21D68"/>
    <w:rsid w:val="00B26C17"/>
    <w:rsid w:val="00B30231"/>
    <w:rsid w:val="00B45E89"/>
    <w:rsid w:val="00B475F5"/>
    <w:rsid w:val="00B66B1C"/>
    <w:rsid w:val="00B966AC"/>
    <w:rsid w:val="00BD628E"/>
    <w:rsid w:val="00C15C9F"/>
    <w:rsid w:val="00C3175A"/>
    <w:rsid w:val="00C7436A"/>
    <w:rsid w:val="00C83659"/>
    <w:rsid w:val="00C86ED8"/>
    <w:rsid w:val="00C97131"/>
    <w:rsid w:val="00CB4175"/>
    <w:rsid w:val="00CC23AF"/>
    <w:rsid w:val="00CC5C04"/>
    <w:rsid w:val="00D06AB4"/>
    <w:rsid w:val="00D156B2"/>
    <w:rsid w:val="00D16CFF"/>
    <w:rsid w:val="00D235DE"/>
    <w:rsid w:val="00D67C94"/>
    <w:rsid w:val="00D720C2"/>
    <w:rsid w:val="00D75DA2"/>
    <w:rsid w:val="00D928E0"/>
    <w:rsid w:val="00D95FE6"/>
    <w:rsid w:val="00DA645A"/>
    <w:rsid w:val="00DB1205"/>
    <w:rsid w:val="00DB2D00"/>
    <w:rsid w:val="00DB421F"/>
    <w:rsid w:val="00DD63BC"/>
    <w:rsid w:val="00DD71F1"/>
    <w:rsid w:val="00DF7A53"/>
    <w:rsid w:val="00E074BD"/>
    <w:rsid w:val="00E2064F"/>
    <w:rsid w:val="00E23ACE"/>
    <w:rsid w:val="00E32BE0"/>
    <w:rsid w:val="00E40935"/>
    <w:rsid w:val="00E56E17"/>
    <w:rsid w:val="00E8148D"/>
    <w:rsid w:val="00E822EB"/>
    <w:rsid w:val="00E93F18"/>
    <w:rsid w:val="00EA1E3A"/>
    <w:rsid w:val="00EA6E5A"/>
    <w:rsid w:val="00EC00C6"/>
    <w:rsid w:val="00EC1472"/>
    <w:rsid w:val="00EC1485"/>
    <w:rsid w:val="00EC3BB9"/>
    <w:rsid w:val="00EC3F49"/>
    <w:rsid w:val="00EF377D"/>
    <w:rsid w:val="00EF77B2"/>
    <w:rsid w:val="00F259FB"/>
    <w:rsid w:val="00F46763"/>
    <w:rsid w:val="00F47DAD"/>
    <w:rsid w:val="00F54A63"/>
    <w:rsid w:val="00F55AD8"/>
    <w:rsid w:val="00F57BC6"/>
    <w:rsid w:val="00F66616"/>
    <w:rsid w:val="00F713CD"/>
    <w:rsid w:val="00F8192A"/>
    <w:rsid w:val="00F822C9"/>
    <w:rsid w:val="00F84FAA"/>
    <w:rsid w:val="00F87ECC"/>
    <w:rsid w:val="00FA347B"/>
    <w:rsid w:val="00FA76E9"/>
    <w:rsid w:val="00FC5BD9"/>
    <w:rsid w:val="00FC603A"/>
    <w:rsid w:val="00FD17BA"/>
    <w:rsid w:val="00FD5441"/>
    <w:rsid w:val="00FD6968"/>
    <w:rsid w:val="00FE0AF6"/>
    <w:rsid w:val="01541B23"/>
    <w:rsid w:val="01647897"/>
    <w:rsid w:val="01996CF6"/>
    <w:rsid w:val="01C2651C"/>
    <w:rsid w:val="027306D5"/>
    <w:rsid w:val="02C152BF"/>
    <w:rsid w:val="02C46ECD"/>
    <w:rsid w:val="02CC2CA4"/>
    <w:rsid w:val="02DB4028"/>
    <w:rsid w:val="03260CC2"/>
    <w:rsid w:val="03451AAA"/>
    <w:rsid w:val="034E0F33"/>
    <w:rsid w:val="03614EBC"/>
    <w:rsid w:val="036926C9"/>
    <w:rsid w:val="03C113BA"/>
    <w:rsid w:val="03DA6DAF"/>
    <w:rsid w:val="044108C7"/>
    <w:rsid w:val="04580288"/>
    <w:rsid w:val="04C972CB"/>
    <w:rsid w:val="051C35D5"/>
    <w:rsid w:val="05393E1F"/>
    <w:rsid w:val="0558150A"/>
    <w:rsid w:val="060C4B01"/>
    <w:rsid w:val="069A210C"/>
    <w:rsid w:val="06F83313"/>
    <w:rsid w:val="07037F8D"/>
    <w:rsid w:val="072671AA"/>
    <w:rsid w:val="078C599D"/>
    <w:rsid w:val="07C92C65"/>
    <w:rsid w:val="07D77390"/>
    <w:rsid w:val="07DA2059"/>
    <w:rsid w:val="081D5DC8"/>
    <w:rsid w:val="08363586"/>
    <w:rsid w:val="083E51C6"/>
    <w:rsid w:val="085B31B1"/>
    <w:rsid w:val="08723268"/>
    <w:rsid w:val="09864BF2"/>
    <w:rsid w:val="099F6D35"/>
    <w:rsid w:val="09C01014"/>
    <w:rsid w:val="0A844275"/>
    <w:rsid w:val="0A8D46F1"/>
    <w:rsid w:val="0ABD5347"/>
    <w:rsid w:val="0AC10BE0"/>
    <w:rsid w:val="0AFD40E8"/>
    <w:rsid w:val="0B0C55A3"/>
    <w:rsid w:val="0B24540E"/>
    <w:rsid w:val="0B9F0A6A"/>
    <w:rsid w:val="0BD81D12"/>
    <w:rsid w:val="0BFB208A"/>
    <w:rsid w:val="0C096F7B"/>
    <w:rsid w:val="0C6969D3"/>
    <w:rsid w:val="0CB67574"/>
    <w:rsid w:val="0CD10F91"/>
    <w:rsid w:val="0CD943BA"/>
    <w:rsid w:val="0D8A195F"/>
    <w:rsid w:val="0D9E7C50"/>
    <w:rsid w:val="0DBD2B3F"/>
    <w:rsid w:val="0E52087E"/>
    <w:rsid w:val="0E563D28"/>
    <w:rsid w:val="0E7A5AD0"/>
    <w:rsid w:val="0F4F3E7F"/>
    <w:rsid w:val="0FEE71BD"/>
    <w:rsid w:val="0FFA4DAE"/>
    <w:rsid w:val="103D2684"/>
    <w:rsid w:val="10A247A3"/>
    <w:rsid w:val="10BB78DA"/>
    <w:rsid w:val="10C742A6"/>
    <w:rsid w:val="10E80C5E"/>
    <w:rsid w:val="10F604C3"/>
    <w:rsid w:val="110B2A03"/>
    <w:rsid w:val="113F6B4E"/>
    <w:rsid w:val="116613BD"/>
    <w:rsid w:val="119C7466"/>
    <w:rsid w:val="11B97DC7"/>
    <w:rsid w:val="127D321E"/>
    <w:rsid w:val="12BF1953"/>
    <w:rsid w:val="12FF46D9"/>
    <w:rsid w:val="13983C6C"/>
    <w:rsid w:val="14761118"/>
    <w:rsid w:val="148558B2"/>
    <w:rsid w:val="14C31F33"/>
    <w:rsid w:val="153D0101"/>
    <w:rsid w:val="15F630D7"/>
    <w:rsid w:val="16276013"/>
    <w:rsid w:val="163A4052"/>
    <w:rsid w:val="16447CC3"/>
    <w:rsid w:val="169335AF"/>
    <w:rsid w:val="169A3EE7"/>
    <w:rsid w:val="16A6128F"/>
    <w:rsid w:val="16AF1C2C"/>
    <w:rsid w:val="16F43135"/>
    <w:rsid w:val="16F60025"/>
    <w:rsid w:val="17017F86"/>
    <w:rsid w:val="175A46E5"/>
    <w:rsid w:val="17702461"/>
    <w:rsid w:val="17BB6B18"/>
    <w:rsid w:val="17C44B88"/>
    <w:rsid w:val="17E47A4C"/>
    <w:rsid w:val="17EC7086"/>
    <w:rsid w:val="18551C6E"/>
    <w:rsid w:val="18A16A81"/>
    <w:rsid w:val="18AE3486"/>
    <w:rsid w:val="197F143D"/>
    <w:rsid w:val="19C67BCD"/>
    <w:rsid w:val="19E02A87"/>
    <w:rsid w:val="1A187AC0"/>
    <w:rsid w:val="1A3C7524"/>
    <w:rsid w:val="1A521C15"/>
    <w:rsid w:val="1A6171D0"/>
    <w:rsid w:val="1A7C0217"/>
    <w:rsid w:val="1A802CF7"/>
    <w:rsid w:val="1AA518BC"/>
    <w:rsid w:val="1AD722F7"/>
    <w:rsid w:val="1AFA4D48"/>
    <w:rsid w:val="1B4E23F8"/>
    <w:rsid w:val="1BDE0896"/>
    <w:rsid w:val="1BFA25B7"/>
    <w:rsid w:val="1C1F6386"/>
    <w:rsid w:val="1C5970C2"/>
    <w:rsid w:val="1CE05AE2"/>
    <w:rsid w:val="1CF85987"/>
    <w:rsid w:val="1D021612"/>
    <w:rsid w:val="1D282738"/>
    <w:rsid w:val="1D313300"/>
    <w:rsid w:val="1D930F96"/>
    <w:rsid w:val="1DFA64D8"/>
    <w:rsid w:val="1E414CEC"/>
    <w:rsid w:val="1E6D5F1F"/>
    <w:rsid w:val="1EEC1C8D"/>
    <w:rsid w:val="1F264D74"/>
    <w:rsid w:val="1FA65121"/>
    <w:rsid w:val="1FB43DE7"/>
    <w:rsid w:val="1FBC2C9C"/>
    <w:rsid w:val="1FC92693"/>
    <w:rsid w:val="1FE42232"/>
    <w:rsid w:val="20CA4765"/>
    <w:rsid w:val="211D2209"/>
    <w:rsid w:val="212D01F6"/>
    <w:rsid w:val="2140478B"/>
    <w:rsid w:val="214540FB"/>
    <w:rsid w:val="21A734D8"/>
    <w:rsid w:val="21C30312"/>
    <w:rsid w:val="21E5760C"/>
    <w:rsid w:val="22896B1A"/>
    <w:rsid w:val="22CA10B4"/>
    <w:rsid w:val="231177A3"/>
    <w:rsid w:val="24D41890"/>
    <w:rsid w:val="24FE3F50"/>
    <w:rsid w:val="251D43E0"/>
    <w:rsid w:val="25B16B83"/>
    <w:rsid w:val="25BD2DC4"/>
    <w:rsid w:val="260C6490"/>
    <w:rsid w:val="268136C8"/>
    <w:rsid w:val="268F63A7"/>
    <w:rsid w:val="276D2013"/>
    <w:rsid w:val="277D7847"/>
    <w:rsid w:val="278A3680"/>
    <w:rsid w:val="279E2402"/>
    <w:rsid w:val="281178FD"/>
    <w:rsid w:val="28457E80"/>
    <w:rsid w:val="28594932"/>
    <w:rsid w:val="288F1DAB"/>
    <w:rsid w:val="289522DC"/>
    <w:rsid w:val="28DB5B64"/>
    <w:rsid w:val="28DB5C3D"/>
    <w:rsid w:val="28E744B5"/>
    <w:rsid w:val="28F10F33"/>
    <w:rsid w:val="28F67B6B"/>
    <w:rsid w:val="28F92162"/>
    <w:rsid w:val="298770F2"/>
    <w:rsid w:val="29882108"/>
    <w:rsid w:val="29AB501D"/>
    <w:rsid w:val="29BE4443"/>
    <w:rsid w:val="2A057093"/>
    <w:rsid w:val="2A4426FC"/>
    <w:rsid w:val="2A444BC2"/>
    <w:rsid w:val="2A700B8E"/>
    <w:rsid w:val="2AD90BA6"/>
    <w:rsid w:val="2B3B3CB2"/>
    <w:rsid w:val="2B5201FA"/>
    <w:rsid w:val="2BAE2033"/>
    <w:rsid w:val="2BFA0DD4"/>
    <w:rsid w:val="2C067FA0"/>
    <w:rsid w:val="2C1A5F2A"/>
    <w:rsid w:val="2C577C3C"/>
    <w:rsid w:val="2C9A010C"/>
    <w:rsid w:val="2CD97C4B"/>
    <w:rsid w:val="2D0E1F3D"/>
    <w:rsid w:val="2D964AE8"/>
    <w:rsid w:val="2DAA4081"/>
    <w:rsid w:val="2DC86CB0"/>
    <w:rsid w:val="2E0E73A3"/>
    <w:rsid w:val="2E1B1F89"/>
    <w:rsid w:val="2EF3595C"/>
    <w:rsid w:val="2F344157"/>
    <w:rsid w:val="2F444061"/>
    <w:rsid w:val="2F5C210C"/>
    <w:rsid w:val="2FA45331"/>
    <w:rsid w:val="2FEF5C54"/>
    <w:rsid w:val="30CD221C"/>
    <w:rsid w:val="30DA1F3D"/>
    <w:rsid w:val="30FD3114"/>
    <w:rsid w:val="311E5E2A"/>
    <w:rsid w:val="31E67244"/>
    <w:rsid w:val="32183778"/>
    <w:rsid w:val="32BF0530"/>
    <w:rsid w:val="33281053"/>
    <w:rsid w:val="33744C5C"/>
    <w:rsid w:val="338B0EAB"/>
    <w:rsid w:val="33D135BB"/>
    <w:rsid w:val="34445613"/>
    <w:rsid w:val="347D6A46"/>
    <w:rsid w:val="34B93816"/>
    <w:rsid w:val="35B85FB1"/>
    <w:rsid w:val="35D47481"/>
    <w:rsid w:val="364A6E2F"/>
    <w:rsid w:val="36FC7A85"/>
    <w:rsid w:val="370B279C"/>
    <w:rsid w:val="37867B3C"/>
    <w:rsid w:val="379543B3"/>
    <w:rsid w:val="37C54511"/>
    <w:rsid w:val="37F03C86"/>
    <w:rsid w:val="37F25055"/>
    <w:rsid w:val="3801274A"/>
    <w:rsid w:val="38506B52"/>
    <w:rsid w:val="3926343B"/>
    <w:rsid w:val="39706B79"/>
    <w:rsid w:val="398443D3"/>
    <w:rsid w:val="39B94DD3"/>
    <w:rsid w:val="3A1942C1"/>
    <w:rsid w:val="3A706C38"/>
    <w:rsid w:val="3A992100"/>
    <w:rsid w:val="3AA30905"/>
    <w:rsid w:val="3ADB0550"/>
    <w:rsid w:val="3AF75F3A"/>
    <w:rsid w:val="3B8922ED"/>
    <w:rsid w:val="3BAD47D3"/>
    <w:rsid w:val="3BD5555E"/>
    <w:rsid w:val="3D6B71F3"/>
    <w:rsid w:val="3D995FB6"/>
    <w:rsid w:val="3DF106B1"/>
    <w:rsid w:val="3E2E5659"/>
    <w:rsid w:val="3E4F058C"/>
    <w:rsid w:val="3E752B00"/>
    <w:rsid w:val="3E917C95"/>
    <w:rsid w:val="3EF302BE"/>
    <w:rsid w:val="3F1814A5"/>
    <w:rsid w:val="3F2823E2"/>
    <w:rsid w:val="3F5259BB"/>
    <w:rsid w:val="3F6B53D5"/>
    <w:rsid w:val="3FCF7262"/>
    <w:rsid w:val="404B3126"/>
    <w:rsid w:val="40E61CA9"/>
    <w:rsid w:val="41171FD0"/>
    <w:rsid w:val="416E7E42"/>
    <w:rsid w:val="417F5F65"/>
    <w:rsid w:val="420662CD"/>
    <w:rsid w:val="425B66F8"/>
    <w:rsid w:val="426461BC"/>
    <w:rsid w:val="427F4869"/>
    <w:rsid w:val="43016CD7"/>
    <w:rsid w:val="43732192"/>
    <w:rsid w:val="43973EB5"/>
    <w:rsid w:val="43AB4490"/>
    <w:rsid w:val="43AD46DE"/>
    <w:rsid w:val="43E2590F"/>
    <w:rsid w:val="43E966A6"/>
    <w:rsid w:val="441065A8"/>
    <w:rsid w:val="44652C1C"/>
    <w:rsid w:val="446F236A"/>
    <w:rsid w:val="44A320E5"/>
    <w:rsid w:val="44B22105"/>
    <w:rsid w:val="44C85A5E"/>
    <w:rsid w:val="45224B49"/>
    <w:rsid w:val="45623D77"/>
    <w:rsid w:val="45681AAB"/>
    <w:rsid w:val="45F007C7"/>
    <w:rsid w:val="462238A9"/>
    <w:rsid w:val="462C3E28"/>
    <w:rsid w:val="464D2D5C"/>
    <w:rsid w:val="465679C8"/>
    <w:rsid w:val="468C2A42"/>
    <w:rsid w:val="46A039FF"/>
    <w:rsid w:val="47261C41"/>
    <w:rsid w:val="473E2065"/>
    <w:rsid w:val="476B7912"/>
    <w:rsid w:val="47A81C25"/>
    <w:rsid w:val="47AA05BC"/>
    <w:rsid w:val="481F48DB"/>
    <w:rsid w:val="482F7BFF"/>
    <w:rsid w:val="48DB1A06"/>
    <w:rsid w:val="48FD6B96"/>
    <w:rsid w:val="496E16B8"/>
    <w:rsid w:val="497A13CF"/>
    <w:rsid w:val="49B90977"/>
    <w:rsid w:val="4A1F6D95"/>
    <w:rsid w:val="4A205BFD"/>
    <w:rsid w:val="4A256A26"/>
    <w:rsid w:val="4A4A4884"/>
    <w:rsid w:val="4A5234D1"/>
    <w:rsid w:val="4A715477"/>
    <w:rsid w:val="4A75530E"/>
    <w:rsid w:val="4A952C45"/>
    <w:rsid w:val="4AEE5202"/>
    <w:rsid w:val="4AF4148E"/>
    <w:rsid w:val="4AF45841"/>
    <w:rsid w:val="4B064E5A"/>
    <w:rsid w:val="4B776EB5"/>
    <w:rsid w:val="4BA13E36"/>
    <w:rsid w:val="4BE62569"/>
    <w:rsid w:val="4C372B4F"/>
    <w:rsid w:val="4CB93F3C"/>
    <w:rsid w:val="4CF552D5"/>
    <w:rsid w:val="4D315643"/>
    <w:rsid w:val="4D7D0177"/>
    <w:rsid w:val="4D9014C2"/>
    <w:rsid w:val="4D9C5D37"/>
    <w:rsid w:val="4E9D1DD0"/>
    <w:rsid w:val="4EBB2E94"/>
    <w:rsid w:val="4F6C798B"/>
    <w:rsid w:val="501A6E38"/>
    <w:rsid w:val="503A1DFB"/>
    <w:rsid w:val="50CF5A68"/>
    <w:rsid w:val="50E10A75"/>
    <w:rsid w:val="50E412D8"/>
    <w:rsid w:val="51375026"/>
    <w:rsid w:val="514F4E6E"/>
    <w:rsid w:val="516D6E4A"/>
    <w:rsid w:val="51B33F61"/>
    <w:rsid w:val="51B56EAC"/>
    <w:rsid w:val="51E62CF9"/>
    <w:rsid w:val="51EB2C0E"/>
    <w:rsid w:val="520E4D2A"/>
    <w:rsid w:val="52226423"/>
    <w:rsid w:val="5240289F"/>
    <w:rsid w:val="531621DA"/>
    <w:rsid w:val="53AC144E"/>
    <w:rsid w:val="53C96D4E"/>
    <w:rsid w:val="54173C5C"/>
    <w:rsid w:val="541A2769"/>
    <w:rsid w:val="541B649C"/>
    <w:rsid w:val="54EF3BE7"/>
    <w:rsid w:val="553B099F"/>
    <w:rsid w:val="55654541"/>
    <w:rsid w:val="55C3259B"/>
    <w:rsid w:val="563A3313"/>
    <w:rsid w:val="565C652A"/>
    <w:rsid w:val="567163BB"/>
    <w:rsid w:val="567C69B3"/>
    <w:rsid w:val="568455BA"/>
    <w:rsid w:val="56B0358D"/>
    <w:rsid w:val="56B11E95"/>
    <w:rsid w:val="56D25757"/>
    <w:rsid w:val="56E77CEE"/>
    <w:rsid w:val="570E31FF"/>
    <w:rsid w:val="575155E9"/>
    <w:rsid w:val="5754511C"/>
    <w:rsid w:val="57D712CB"/>
    <w:rsid w:val="586E12E1"/>
    <w:rsid w:val="58B54151"/>
    <w:rsid w:val="58C54E18"/>
    <w:rsid w:val="58C733EB"/>
    <w:rsid w:val="58FF717A"/>
    <w:rsid w:val="5960680E"/>
    <w:rsid w:val="59ED2726"/>
    <w:rsid w:val="5A2E7D17"/>
    <w:rsid w:val="5A577BAA"/>
    <w:rsid w:val="5B1E6C51"/>
    <w:rsid w:val="5BA36005"/>
    <w:rsid w:val="5BCA5279"/>
    <w:rsid w:val="5D1B2C99"/>
    <w:rsid w:val="5D2E402D"/>
    <w:rsid w:val="5D364C0E"/>
    <w:rsid w:val="5D5046EA"/>
    <w:rsid w:val="5DD57AE9"/>
    <w:rsid w:val="5DF87674"/>
    <w:rsid w:val="5DFB01C7"/>
    <w:rsid w:val="5E5A4B08"/>
    <w:rsid w:val="5EAB48CF"/>
    <w:rsid w:val="5ED07680"/>
    <w:rsid w:val="5ED759C8"/>
    <w:rsid w:val="5FBA61D1"/>
    <w:rsid w:val="5FC27ECA"/>
    <w:rsid w:val="5FC71281"/>
    <w:rsid w:val="60FE3143"/>
    <w:rsid w:val="615269E1"/>
    <w:rsid w:val="616A2AF6"/>
    <w:rsid w:val="61E02F04"/>
    <w:rsid w:val="61E55F2A"/>
    <w:rsid w:val="61EE67CA"/>
    <w:rsid w:val="620C47F3"/>
    <w:rsid w:val="62684776"/>
    <w:rsid w:val="62887488"/>
    <w:rsid w:val="628D56C0"/>
    <w:rsid w:val="63010DEB"/>
    <w:rsid w:val="6349211A"/>
    <w:rsid w:val="6432457F"/>
    <w:rsid w:val="64531993"/>
    <w:rsid w:val="645706D2"/>
    <w:rsid w:val="64763616"/>
    <w:rsid w:val="649A612C"/>
    <w:rsid w:val="64B029C8"/>
    <w:rsid w:val="64B71B62"/>
    <w:rsid w:val="656A1757"/>
    <w:rsid w:val="656E50EB"/>
    <w:rsid w:val="65A275B4"/>
    <w:rsid w:val="65C57E08"/>
    <w:rsid w:val="66144708"/>
    <w:rsid w:val="662D5327"/>
    <w:rsid w:val="670B0FDE"/>
    <w:rsid w:val="674E794F"/>
    <w:rsid w:val="67555398"/>
    <w:rsid w:val="675D4C2C"/>
    <w:rsid w:val="67836D27"/>
    <w:rsid w:val="67AE34CC"/>
    <w:rsid w:val="67F6413D"/>
    <w:rsid w:val="683C5EB7"/>
    <w:rsid w:val="683C7AA3"/>
    <w:rsid w:val="68CA1E6A"/>
    <w:rsid w:val="68D45F2D"/>
    <w:rsid w:val="68F4214A"/>
    <w:rsid w:val="69434E61"/>
    <w:rsid w:val="69677A54"/>
    <w:rsid w:val="698A5BFF"/>
    <w:rsid w:val="6996205D"/>
    <w:rsid w:val="69BB1F60"/>
    <w:rsid w:val="6A055A99"/>
    <w:rsid w:val="6A1C432D"/>
    <w:rsid w:val="6A266C5C"/>
    <w:rsid w:val="6A926BFF"/>
    <w:rsid w:val="6AB31620"/>
    <w:rsid w:val="6AED7009"/>
    <w:rsid w:val="6AF477D7"/>
    <w:rsid w:val="6B35369D"/>
    <w:rsid w:val="6B4A0B28"/>
    <w:rsid w:val="6BBF56A8"/>
    <w:rsid w:val="6C886770"/>
    <w:rsid w:val="6CCE433E"/>
    <w:rsid w:val="6D4C6174"/>
    <w:rsid w:val="6D68320E"/>
    <w:rsid w:val="6D8022AA"/>
    <w:rsid w:val="6E3F4BB9"/>
    <w:rsid w:val="6E402165"/>
    <w:rsid w:val="6E76324C"/>
    <w:rsid w:val="6F12155D"/>
    <w:rsid w:val="6F4D20E9"/>
    <w:rsid w:val="700232EF"/>
    <w:rsid w:val="703E15C5"/>
    <w:rsid w:val="70624BAD"/>
    <w:rsid w:val="70734403"/>
    <w:rsid w:val="708138DB"/>
    <w:rsid w:val="70973EA1"/>
    <w:rsid w:val="70A66447"/>
    <w:rsid w:val="70BE5E84"/>
    <w:rsid w:val="71743D11"/>
    <w:rsid w:val="717A35C8"/>
    <w:rsid w:val="71EF4F28"/>
    <w:rsid w:val="7218258D"/>
    <w:rsid w:val="724C3E0F"/>
    <w:rsid w:val="729E2576"/>
    <w:rsid w:val="73647909"/>
    <w:rsid w:val="738D48F0"/>
    <w:rsid w:val="73D26239"/>
    <w:rsid w:val="73D67D38"/>
    <w:rsid w:val="7402718D"/>
    <w:rsid w:val="740D5F5D"/>
    <w:rsid w:val="743E25B8"/>
    <w:rsid w:val="74604E8D"/>
    <w:rsid w:val="746A5998"/>
    <w:rsid w:val="746E2011"/>
    <w:rsid w:val="748476DF"/>
    <w:rsid w:val="753F1234"/>
    <w:rsid w:val="755F7898"/>
    <w:rsid w:val="75803506"/>
    <w:rsid w:val="759E1430"/>
    <w:rsid w:val="75D04C70"/>
    <w:rsid w:val="76192664"/>
    <w:rsid w:val="761F4230"/>
    <w:rsid w:val="76382514"/>
    <w:rsid w:val="76B70607"/>
    <w:rsid w:val="76BA6CE1"/>
    <w:rsid w:val="76FAD66D"/>
    <w:rsid w:val="776F54E2"/>
    <w:rsid w:val="778E370B"/>
    <w:rsid w:val="782116ED"/>
    <w:rsid w:val="78536BBE"/>
    <w:rsid w:val="78761DF9"/>
    <w:rsid w:val="78A66F01"/>
    <w:rsid w:val="795F1AEA"/>
    <w:rsid w:val="79EA6565"/>
    <w:rsid w:val="7A0643B5"/>
    <w:rsid w:val="7A4E2FF5"/>
    <w:rsid w:val="7A631444"/>
    <w:rsid w:val="7AB8022C"/>
    <w:rsid w:val="7ABA4255"/>
    <w:rsid w:val="7AD0474E"/>
    <w:rsid w:val="7B3A5813"/>
    <w:rsid w:val="7B8618EE"/>
    <w:rsid w:val="7B8734D6"/>
    <w:rsid w:val="7C4116D4"/>
    <w:rsid w:val="7C9E429F"/>
    <w:rsid w:val="7D1C455C"/>
    <w:rsid w:val="7D2623A5"/>
    <w:rsid w:val="7D796C4C"/>
    <w:rsid w:val="7DC17156"/>
    <w:rsid w:val="7E30343D"/>
    <w:rsid w:val="7E3819B3"/>
    <w:rsid w:val="7E741B06"/>
    <w:rsid w:val="7EB53726"/>
    <w:rsid w:val="CDED27AC"/>
    <w:rsid w:val="DFFE65FE"/>
    <w:rsid w:val="EDBF1249"/>
    <w:rsid w:val="F3FC72BB"/>
    <w:rsid w:val="F7DB36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semiHidden="0" w:name="toc 2"/>
    <w:lsdException w:qFormat="1" w:uiPriority="39" w:semiHidden="0" w:name="toc 3"/>
    <w:lsdException w:uiPriority="39" w:name="toc 4"/>
    <w:lsdException w:qFormat="1" w:unhideWhenUsed="0" w:uiPriority="0" w:semiHidden="0"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26"/>
    <w:qFormat/>
    <w:uiPriority w:val="9"/>
    <w:pPr>
      <w:keepNext/>
      <w:keepLines/>
      <w:spacing w:before="340" w:after="330" w:line="578" w:lineRule="auto"/>
      <w:outlineLvl w:val="0"/>
    </w:pPr>
    <w:rPr>
      <w:b/>
      <w:bCs/>
      <w:kern w:val="44"/>
      <w:sz w:val="44"/>
      <w:szCs w:val="44"/>
    </w:rPr>
  </w:style>
  <w:style w:type="paragraph" w:styleId="5">
    <w:name w:val="heading 2"/>
    <w:basedOn w:val="1"/>
    <w:next w:val="1"/>
    <w:link w:val="27"/>
    <w:unhideWhenUsed/>
    <w:qFormat/>
    <w:uiPriority w:val="9"/>
    <w:pPr>
      <w:keepNext/>
      <w:keepLines/>
      <w:spacing w:before="260" w:after="260" w:line="416" w:lineRule="auto"/>
      <w:ind w:firstLine="300" w:firstLineChars="100"/>
      <w:outlineLvl w:val="1"/>
    </w:pPr>
    <w:rPr>
      <w:rFonts w:ascii="Times New Roman" w:hAnsi="Times New Roman" w:eastAsia="宋体" w:cs="Times New Roman"/>
      <w:b/>
      <w:bCs/>
      <w:sz w:val="30"/>
      <w:szCs w:val="30"/>
    </w:rPr>
  </w:style>
  <w:style w:type="paragraph" w:styleId="6">
    <w:name w:val="heading 3"/>
    <w:basedOn w:val="1"/>
    <w:next w:val="1"/>
    <w:link w:val="28"/>
    <w:unhideWhenUsed/>
    <w:qFormat/>
    <w:uiPriority w:val="9"/>
    <w:pPr>
      <w:keepNext/>
      <w:keepLines/>
      <w:spacing w:before="260" w:after="260" w:line="416" w:lineRule="auto"/>
      <w:outlineLvl w:val="2"/>
    </w:pPr>
    <w:rPr>
      <w:b/>
      <w:bCs/>
      <w:sz w:val="32"/>
      <w:szCs w:val="32"/>
    </w:rPr>
  </w:style>
  <w:style w:type="paragraph" w:styleId="7">
    <w:name w:val="heading 4"/>
    <w:basedOn w:val="1"/>
    <w:next w:val="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qFormat/>
    <w:uiPriority w:val="0"/>
    <w:pPr>
      <w:spacing w:after="0"/>
      <w:ind w:firstLine="420" w:firstLineChars="200"/>
    </w:pPr>
    <w:rPr>
      <w:rFonts w:ascii="Times New Roman" w:hAnsi="Times New Roman"/>
    </w:rPr>
  </w:style>
  <w:style w:type="paragraph" w:styleId="3">
    <w:name w:val="Body Text Indent"/>
    <w:basedOn w:val="1"/>
    <w:qFormat/>
    <w:uiPriority w:val="0"/>
    <w:pPr>
      <w:spacing w:after="120"/>
      <w:ind w:left="420" w:leftChars="200"/>
    </w:pPr>
  </w:style>
  <w:style w:type="paragraph" w:styleId="8">
    <w:name w:val="annotation text"/>
    <w:basedOn w:val="1"/>
    <w:link w:val="94"/>
    <w:semiHidden/>
    <w:unhideWhenUsed/>
    <w:qFormat/>
    <w:uiPriority w:val="99"/>
    <w:pPr>
      <w:jc w:val="left"/>
    </w:pPr>
  </w:style>
  <w:style w:type="paragraph" w:styleId="9">
    <w:name w:val="Body Text"/>
    <w:basedOn w:val="1"/>
    <w:next w:val="10"/>
    <w:link w:val="29"/>
    <w:qFormat/>
    <w:uiPriority w:val="0"/>
    <w:pPr>
      <w:spacing w:line="180" w:lineRule="auto"/>
    </w:pPr>
    <w:rPr>
      <w:rFonts w:ascii="Times New Roman"/>
      <w:kern w:val="0"/>
      <w:sz w:val="20"/>
    </w:rPr>
  </w:style>
  <w:style w:type="paragraph" w:styleId="10">
    <w:name w:val="toc 5"/>
    <w:next w:val="1"/>
    <w:qFormat/>
    <w:uiPriority w:val="0"/>
    <w:pPr>
      <w:widowControl w:val="0"/>
      <w:ind w:left="1680"/>
      <w:jc w:val="both"/>
    </w:pPr>
    <w:rPr>
      <w:rFonts w:ascii="Calibri" w:hAnsi="Calibri" w:eastAsia="宋体" w:cs="Times New Roman"/>
      <w:kern w:val="2"/>
      <w:sz w:val="21"/>
      <w:szCs w:val="24"/>
      <w:lang w:val="en-US" w:eastAsia="zh-CN" w:bidi="ar-SA"/>
    </w:rPr>
  </w:style>
  <w:style w:type="paragraph" w:styleId="11">
    <w:name w:val="toc 3"/>
    <w:basedOn w:val="1"/>
    <w:next w:val="1"/>
    <w:unhideWhenUsed/>
    <w:qFormat/>
    <w:uiPriority w:val="39"/>
    <w:pPr>
      <w:ind w:left="840" w:leftChars="400"/>
    </w:pPr>
  </w:style>
  <w:style w:type="paragraph" w:styleId="12">
    <w:name w:val="Balloon Text"/>
    <w:basedOn w:val="1"/>
    <w:link w:val="30"/>
    <w:semiHidden/>
    <w:unhideWhenUsed/>
    <w:qFormat/>
    <w:uiPriority w:val="99"/>
    <w:rPr>
      <w:sz w:val="18"/>
      <w:szCs w:val="18"/>
    </w:rPr>
  </w:style>
  <w:style w:type="paragraph" w:styleId="13">
    <w:name w:val="footer"/>
    <w:basedOn w:val="1"/>
    <w:link w:val="31"/>
    <w:unhideWhenUsed/>
    <w:qFormat/>
    <w:uiPriority w:val="99"/>
    <w:pPr>
      <w:tabs>
        <w:tab w:val="center" w:pos="4153"/>
        <w:tab w:val="right" w:pos="8306"/>
      </w:tabs>
      <w:snapToGrid w:val="0"/>
      <w:jc w:val="left"/>
    </w:pPr>
    <w:rPr>
      <w:sz w:val="18"/>
      <w:szCs w:val="18"/>
    </w:rPr>
  </w:style>
  <w:style w:type="paragraph" w:styleId="14">
    <w:name w:val="header"/>
    <w:basedOn w:val="1"/>
    <w:link w:val="32"/>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semiHidden/>
    <w:unhideWhenUsed/>
    <w:qFormat/>
    <w:uiPriority w:val="39"/>
  </w:style>
  <w:style w:type="paragraph" w:styleId="16">
    <w:name w:val="toc 2"/>
    <w:basedOn w:val="1"/>
    <w:next w:val="1"/>
    <w:unhideWhenUsed/>
    <w:qFormat/>
    <w:uiPriority w:val="39"/>
    <w:pPr>
      <w:ind w:left="420" w:leftChars="200"/>
    </w:pPr>
  </w:style>
  <w:style w:type="paragraph" w:styleId="17">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8">
    <w:name w:val="annotation subject"/>
    <w:basedOn w:val="8"/>
    <w:next w:val="8"/>
    <w:link w:val="95"/>
    <w:semiHidden/>
    <w:unhideWhenUsed/>
    <w:qFormat/>
    <w:uiPriority w:val="99"/>
    <w:rPr>
      <w:b/>
      <w:bCs/>
    </w:rPr>
  </w:style>
  <w:style w:type="paragraph" w:styleId="19">
    <w:name w:val="Body Text First Indent"/>
    <w:basedOn w:val="9"/>
    <w:qFormat/>
    <w:uiPriority w:val="0"/>
    <w:pPr>
      <w:widowControl/>
      <w:adjustRightInd w:val="0"/>
      <w:snapToGrid w:val="0"/>
      <w:spacing w:before="100" w:beforeAutospacing="1"/>
      <w:ind w:firstLine="420" w:firstLineChars="100"/>
      <w:jc w:val="left"/>
    </w:pPr>
    <w:rPr>
      <w:rFonts w:ascii="Tahoma" w:hAnsi="Tahoma" w:cs="Tahoma"/>
      <w:sz w:val="22"/>
    </w:rPr>
  </w:style>
  <w:style w:type="table" w:styleId="21">
    <w:name w:val="Table Grid"/>
    <w:basedOn w:val="2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Hyperlink"/>
    <w:basedOn w:val="22"/>
    <w:qFormat/>
    <w:uiPriority w:val="0"/>
    <w:rPr>
      <w:color w:val="0000FF"/>
      <w:u w:val="single"/>
    </w:rPr>
  </w:style>
  <w:style w:type="character" w:styleId="25">
    <w:name w:val="annotation reference"/>
    <w:basedOn w:val="22"/>
    <w:semiHidden/>
    <w:unhideWhenUsed/>
    <w:qFormat/>
    <w:uiPriority w:val="99"/>
    <w:rPr>
      <w:sz w:val="21"/>
      <w:szCs w:val="21"/>
    </w:rPr>
  </w:style>
  <w:style w:type="character" w:customStyle="1" w:styleId="26">
    <w:name w:val="标题 1 字符"/>
    <w:basedOn w:val="22"/>
    <w:link w:val="4"/>
    <w:qFormat/>
    <w:uiPriority w:val="9"/>
    <w:rPr>
      <w:b/>
      <w:bCs/>
      <w:kern w:val="44"/>
      <w:sz w:val="44"/>
      <w:szCs w:val="44"/>
    </w:rPr>
  </w:style>
  <w:style w:type="character" w:customStyle="1" w:styleId="27">
    <w:name w:val="标题 2 字符"/>
    <w:basedOn w:val="22"/>
    <w:link w:val="5"/>
    <w:qFormat/>
    <w:uiPriority w:val="9"/>
    <w:rPr>
      <w:rFonts w:ascii="Times New Roman" w:hAnsi="Times New Roman" w:eastAsia="宋体" w:cs="Times New Roman"/>
      <w:b/>
      <w:bCs/>
      <w:sz w:val="30"/>
      <w:szCs w:val="30"/>
    </w:rPr>
  </w:style>
  <w:style w:type="character" w:customStyle="1" w:styleId="28">
    <w:name w:val="标题 3 字符"/>
    <w:basedOn w:val="22"/>
    <w:link w:val="6"/>
    <w:qFormat/>
    <w:uiPriority w:val="9"/>
    <w:rPr>
      <w:b/>
      <w:bCs/>
      <w:sz w:val="32"/>
      <w:szCs w:val="32"/>
    </w:rPr>
  </w:style>
  <w:style w:type="character" w:customStyle="1" w:styleId="29">
    <w:name w:val="正文文本 字符"/>
    <w:basedOn w:val="22"/>
    <w:link w:val="9"/>
    <w:qFormat/>
    <w:uiPriority w:val="99"/>
    <w:rPr>
      <w:rFonts w:ascii="Times New Roman"/>
      <w:kern w:val="0"/>
      <w:sz w:val="20"/>
    </w:rPr>
  </w:style>
  <w:style w:type="character" w:customStyle="1" w:styleId="30">
    <w:name w:val="批注框文本 字符"/>
    <w:basedOn w:val="22"/>
    <w:link w:val="12"/>
    <w:semiHidden/>
    <w:qFormat/>
    <w:uiPriority w:val="99"/>
    <w:rPr>
      <w:kern w:val="2"/>
      <w:sz w:val="18"/>
      <w:szCs w:val="18"/>
    </w:rPr>
  </w:style>
  <w:style w:type="character" w:customStyle="1" w:styleId="31">
    <w:name w:val="页脚 字符"/>
    <w:basedOn w:val="22"/>
    <w:link w:val="13"/>
    <w:qFormat/>
    <w:uiPriority w:val="99"/>
    <w:rPr>
      <w:sz w:val="18"/>
      <w:szCs w:val="18"/>
    </w:rPr>
  </w:style>
  <w:style w:type="character" w:customStyle="1" w:styleId="32">
    <w:name w:val="页眉 字符"/>
    <w:basedOn w:val="22"/>
    <w:link w:val="14"/>
    <w:qFormat/>
    <w:uiPriority w:val="99"/>
    <w:rPr>
      <w:sz w:val="18"/>
      <w:szCs w:val="18"/>
    </w:rPr>
  </w:style>
  <w:style w:type="paragraph" w:styleId="33">
    <w:name w:val="List Paragraph"/>
    <w:basedOn w:val="1"/>
    <w:qFormat/>
    <w:uiPriority w:val="1"/>
    <w:pPr>
      <w:ind w:firstLine="420" w:firstLineChars="200"/>
    </w:pPr>
  </w:style>
  <w:style w:type="paragraph" w:customStyle="1" w:styleId="34">
    <w:name w:val="TOC 标题1"/>
    <w:basedOn w:val="4"/>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customStyle="1" w:styleId="35">
    <w:name w:val="图名"/>
    <w:basedOn w:val="1"/>
    <w:link w:val="36"/>
    <w:qFormat/>
    <w:uiPriority w:val="0"/>
    <w:pPr>
      <w:spacing w:line="480" w:lineRule="auto"/>
      <w:jc w:val="center"/>
    </w:pPr>
    <w:rPr>
      <w:rFonts w:ascii="Times New Roman" w:hAnsi="Times New Roman" w:eastAsia="黑体" w:cs="Times New Roman"/>
      <w:sz w:val="28"/>
      <w:szCs w:val="24"/>
    </w:rPr>
  </w:style>
  <w:style w:type="character" w:customStyle="1" w:styleId="36">
    <w:name w:val="图名 字符"/>
    <w:basedOn w:val="22"/>
    <w:link w:val="35"/>
    <w:qFormat/>
    <w:uiPriority w:val="0"/>
    <w:rPr>
      <w:rFonts w:ascii="Times New Roman" w:hAnsi="Times New Roman" w:eastAsia="黑体" w:cs="Times New Roman"/>
      <w:sz w:val="28"/>
      <w:szCs w:val="24"/>
    </w:rPr>
  </w:style>
  <w:style w:type="paragraph" w:customStyle="1" w:styleId="37">
    <w:name w:val="0-表头"/>
    <w:basedOn w:val="1"/>
    <w:qFormat/>
    <w:uiPriority w:val="0"/>
    <w:pPr>
      <w:spacing w:before="50" w:beforeLines="50" w:line="360" w:lineRule="auto"/>
      <w:ind w:firstLine="482"/>
      <w:jc w:val="center"/>
    </w:pPr>
    <w:rPr>
      <w:rFonts w:ascii="Times New Roman" w:hAnsi="Times New Roman" w:eastAsia="黑体" w:cs="Times New Roman"/>
      <w:sz w:val="24"/>
      <w:szCs w:val="21"/>
    </w:rPr>
  </w:style>
  <w:style w:type="character" w:customStyle="1" w:styleId="38">
    <w:name w:val="fontstyle01"/>
    <w:basedOn w:val="22"/>
    <w:qFormat/>
    <w:uiPriority w:val="0"/>
    <w:rPr>
      <w:rFonts w:hint="eastAsia" w:ascii="宋体" w:hAnsi="宋体" w:eastAsia="宋体"/>
      <w:color w:val="000000"/>
      <w:sz w:val="28"/>
      <w:szCs w:val="28"/>
    </w:rPr>
  </w:style>
  <w:style w:type="paragraph" w:customStyle="1" w:styleId="39">
    <w:name w:val="msonormal"/>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0">
    <w:name w:val="font5"/>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41">
    <w:name w:val="font6"/>
    <w:basedOn w:val="1"/>
    <w:qFormat/>
    <w:uiPriority w:val="0"/>
    <w:pPr>
      <w:widowControl/>
      <w:spacing w:before="100" w:beforeAutospacing="1" w:after="100" w:afterAutospacing="1"/>
      <w:jc w:val="left"/>
    </w:pPr>
    <w:rPr>
      <w:rFonts w:ascii="宋体" w:hAnsi="宋体" w:eastAsia="宋体" w:cs="宋体"/>
      <w:color w:val="000000"/>
      <w:kern w:val="0"/>
      <w:sz w:val="20"/>
      <w:szCs w:val="20"/>
    </w:rPr>
  </w:style>
  <w:style w:type="paragraph" w:customStyle="1" w:styleId="42">
    <w:name w:val="font7"/>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 w:val="20"/>
      <w:szCs w:val="20"/>
    </w:rPr>
  </w:style>
  <w:style w:type="paragraph" w:customStyle="1" w:styleId="43">
    <w:name w:val="font8"/>
    <w:basedOn w:val="1"/>
    <w:qFormat/>
    <w:uiPriority w:val="0"/>
    <w:pPr>
      <w:widowControl/>
      <w:spacing w:before="100" w:beforeAutospacing="1" w:after="100" w:afterAutospacing="1"/>
      <w:jc w:val="left"/>
    </w:pPr>
    <w:rPr>
      <w:rFonts w:ascii="Times New Roman" w:hAnsi="Times New Roman" w:eastAsia="宋体" w:cs="Times New Roman"/>
      <w:color w:val="000000"/>
      <w:kern w:val="0"/>
      <w:sz w:val="20"/>
      <w:szCs w:val="20"/>
    </w:rPr>
  </w:style>
  <w:style w:type="paragraph" w:customStyle="1" w:styleId="44">
    <w:name w:val="font9"/>
    <w:basedOn w:val="1"/>
    <w:qFormat/>
    <w:uiPriority w:val="0"/>
    <w:pPr>
      <w:widowControl/>
      <w:spacing w:before="100" w:beforeAutospacing="1" w:after="100" w:afterAutospacing="1"/>
      <w:jc w:val="left"/>
    </w:pPr>
    <w:rPr>
      <w:rFonts w:ascii="宋体" w:hAnsi="宋体" w:eastAsia="宋体" w:cs="宋体"/>
      <w:b/>
      <w:bCs/>
      <w:color w:val="000000"/>
      <w:kern w:val="0"/>
      <w:sz w:val="20"/>
      <w:szCs w:val="20"/>
    </w:rPr>
  </w:style>
  <w:style w:type="paragraph" w:customStyle="1" w:styleId="45">
    <w:name w:val="font10"/>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 w:val="20"/>
      <w:szCs w:val="20"/>
    </w:rPr>
  </w:style>
  <w:style w:type="paragraph" w:customStyle="1" w:styleId="46">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47">
    <w:name w:val="xl6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b/>
      <w:bCs/>
      <w:kern w:val="0"/>
      <w:sz w:val="20"/>
      <w:szCs w:val="20"/>
    </w:rPr>
  </w:style>
  <w:style w:type="paragraph" w:customStyle="1" w:styleId="48">
    <w:name w:val="xl67"/>
    <w:basedOn w:val="1"/>
    <w:qFormat/>
    <w:uiPriority w:val="0"/>
    <w:pPr>
      <w:widowControl/>
      <w:pBdr>
        <w:top w:val="single" w:color="000000" w:sz="4" w:space="0"/>
        <w:left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49">
    <w:name w:val="xl68"/>
    <w:basedOn w:val="1"/>
    <w:qFormat/>
    <w:uiPriority w:val="0"/>
    <w:pPr>
      <w:widowControl/>
      <w:pBdr>
        <w:left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50">
    <w:name w:val="xl69"/>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51">
    <w:name w:val="xl7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52">
    <w:name w:val="xl7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宋体" w:hAnsi="宋体" w:eastAsia="宋体" w:cs="宋体"/>
      <w:kern w:val="0"/>
      <w:sz w:val="20"/>
      <w:szCs w:val="20"/>
    </w:rPr>
  </w:style>
  <w:style w:type="paragraph" w:customStyle="1" w:styleId="53">
    <w:name w:val="xl72"/>
    <w:basedOn w:val="1"/>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4">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kern w:val="0"/>
      <w:sz w:val="20"/>
      <w:szCs w:val="20"/>
    </w:rPr>
  </w:style>
  <w:style w:type="paragraph" w:customStyle="1" w:styleId="55">
    <w:name w:val="xl74"/>
    <w:basedOn w:val="1"/>
    <w:qFormat/>
    <w:uiPriority w:val="0"/>
    <w:pPr>
      <w:widowControl/>
      <w:spacing w:before="100" w:beforeAutospacing="1" w:after="100" w:afterAutospacing="1"/>
      <w:jc w:val="center"/>
      <w:textAlignment w:val="center"/>
    </w:pPr>
    <w:rPr>
      <w:rFonts w:ascii="宋体" w:hAnsi="宋体" w:eastAsia="宋体" w:cs="宋体"/>
      <w:kern w:val="0"/>
      <w:sz w:val="20"/>
      <w:szCs w:val="20"/>
    </w:rPr>
  </w:style>
  <w:style w:type="paragraph" w:customStyle="1" w:styleId="56">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Times New Roman" w:hAnsi="Times New Roman" w:eastAsia="宋体" w:cs="Times New Roman"/>
      <w:b/>
      <w:bCs/>
      <w:kern w:val="0"/>
      <w:sz w:val="20"/>
      <w:szCs w:val="20"/>
    </w:rPr>
  </w:style>
  <w:style w:type="character" w:customStyle="1" w:styleId="57">
    <w:name w:val="font01"/>
    <w:basedOn w:val="22"/>
    <w:qFormat/>
    <w:uiPriority w:val="0"/>
    <w:rPr>
      <w:rFonts w:hint="default" w:ascii="Times New Roman" w:hAnsi="Times New Roman" w:cs="Times New Roman"/>
      <w:b/>
      <w:color w:val="000000"/>
      <w:sz w:val="20"/>
      <w:szCs w:val="20"/>
      <w:u w:val="none"/>
    </w:rPr>
  </w:style>
  <w:style w:type="character" w:customStyle="1" w:styleId="58">
    <w:name w:val="font31"/>
    <w:basedOn w:val="22"/>
    <w:qFormat/>
    <w:uiPriority w:val="0"/>
    <w:rPr>
      <w:rFonts w:hint="eastAsia" w:ascii="宋体" w:hAnsi="宋体" w:eastAsia="宋体" w:cs="宋体"/>
      <w:b/>
      <w:color w:val="000000"/>
      <w:sz w:val="20"/>
      <w:szCs w:val="20"/>
      <w:u w:val="none"/>
    </w:rPr>
  </w:style>
  <w:style w:type="character" w:customStyle="1" w:styleId="59">
    <w:name w:val="font61"/>
    <w:basedOn w:val="22"/>
    <w:qFormat/>
    <w:uiPriority w:val="0"/>
    <w:rPr>
      <w:rFonts w:hint="default" w:ascii="Times New Roman" w:hAnsi="Times New Roman" w:cs="Times New Roman"/>
      <w:b/>
      <w:color w:val="000000"/>
      <w:sz w:val="20"/>
      <w:szCs w:val="20"/>
      <w:u w:val="none"/>
      <w:vertAlign w:val="superscript"/>
    </w:rPr>
  </w:style>
  <w:style w:type="character" w:customStyle="1" w:styleId="60">
    <w:name w:val="font11"/>
    <w:basedOn w:val="22"/>
    <w:qFormat/>
    <w:uiPriority w:val="0"/>
    <w:rPr>
      <w:rFonts w:hint="eastAsia" w:ascii="宋体" w:hAnsi="宋体" w:eastAsia="宋体" w:cs="宋体"/>
      <w:color w:val="000000"/>
      <w:sz w:val="20"/>
      <w:szCs w:val="20"/>
      <w:u w:val="none"/>
    </w:rPr>
  </w:style>
  <w:style w:type="character" w:customStyle="1" w:styleId="61">
    <w:name w:val="font21"/>
    <w:basedOn w:val="22"/>
    <w:qFormat/>
    <w:uiPriority w:val="0"/>
    <w:rPr>
      <w:rFonts w:hint="default" w:ascii="Times New Roman" w:hAnsi="Times New Roman" w:cs="Times New Roman"/>
      <w:color w:val="000000"/>
      <w:sz w:val="20"/>
      <w:szCs w:val="20"/>
      <w:u w:val="none"/>
    </w:rPr>
  </w:style>
  <w:style w:type="character" w:customStyle="1" w:styleId="62">
    <w:name w:val="font51"/>
    <w:basedOn w:val="22"/>
    <w:qFormat/>
    <w:uiPriority w:val="0"/>
    <w:rPr>
      <w:rFonts w:hint="default" w:ascii="Times New Roman" w:hAnsi="Times New Roman" w:cs="Times New Roman"/>
      <w:b/>
      <w:color w:val="000000"/>
      <w:sz w:val="20"/>
      <w:szCs w:val="20"/>
      <w:u w:val="none"/>
    </w:rPr>
  </w:style>
  <w:style w:type="character" w:customStyle="1" w:styleId="63">
    <w:name w:val="font41"/>
    <w:basedOn w:val="22"/>
    <w:qFormat/>
    <w:uiPriority w:val="0"/>
    <w:rPr>
      <w:rFonts w:hint="default" w:ascii="Times New Roman" w:hAnsi="Times New Roman" w:cs="Times New Roman"/>
      <w:b/>
      <w:color w:val="000000"/>
      <w:sz w:val="20"/>
      <w:szCs w:val="20"/>
      <w:u w:val="none"/>
      <w:vertAlign w:val="superscript"/>
    </w:rPr>
  </w:style>
  <w:style w:type="character" w:customStyle="1" w:styleId="64">
    <w:name w:val="font101"/>
    <w:basedOn w:val="22"/>
    <w:qFormat/>
    <w:uiPriority w:val="0"/>
    <w:rPr>
      <w:rFonts w:hint="default" w:ascii="Times New Roman" w:hAnsi="Times New Roman" w:cs="Times New Roman"/>
      <w:b/>
      <w:color w:val="000000"/>
      <w:sz w:val="20"/>
      <w:szCs w:val="20"/>
      <w:u w:val="none"/>
    </w:rPr>
  </w:style>
  <w:style w:type="character" w:customStyle="1" w:styleId="65">
    <w:name w:val="font111"/>
    <w:basedOn w:val="22"/>
    <w:qFormat/>
    <w:uiPriority w:val="0"/>
    <w:rPr>
      <w:rFonts w:hint="eastAsia" w:ascii="宋体" w:hAnsi="宋体" w:eastAsia="宋体" w:cs="宋体"/>
      <w:b/>
      <w:color w:val="000000"/>
      <w:sz w:val="20"/>
      <w:szCs w:val="20"/>
      <w:u w:val="none"/>
    </w:rPr>
  </w:style>
  <w:style w:type="character" w:customStyle="1" w:styleId="66">
    <w:name w:val="font91"/>
    <w:basedOn w:val="22"/>
    <w:qFormat/>
    <w:uiPriority w:val="0"/>
    <w:rPr>
      <w:rFonts w:hint="default" w:ascii="Times New Roman" w:hAnsi="Times New Roman" w:cs="Times New Roman"/>
      <w:b/>
      <w:color w:val="000000"/>
      <w:sz w:val="20"/>
      <w:szCs w:val="20"/>
      <w:u w:val="none"/>
      <w:vertAlign w:val="superscript"/>
    </w:rPr>
  </w:style>
  <w:style w:type="character" w:customStyle="1" w:styleId="67">
    <w:name w:val="font81"/>
    <w:basedOn w:val="22"/>
    <w:qFormat/>
    <w:uiPriority w:val="0"/>
    <w:rPr>
      <w:rFonts w:hint="default" w:ascii="Times New Roman" w:hAnsi="Times New Roman" w:cs="Times New Roman"/>
      <w:b/>
      <w:color w:val="000000"/>
      <w:sz w:val="20"/>
      <w:szCs w:val="20"/>
      <w:u w:val="none"/>
    </w:rPr>
  </w:style>
  <w:style w:type="character" w:customStyle="1" w:styleId="68">
    <w:name w:val="font71"/>
    <w:basedOn w:val="22"/>
    <w:qFormat/>
    <w:uiPriority w:val="0"/>
    <w:rPr>
      <w:rFonts w:hint="default" w:ascii="Times New Roman" w:hAnsi="Times New Roman" w:cs="Times New Roman"/>
      <w:b/>
      <w:color w:val="000000"/>
      <w:sz w:val="20"/>
      <w:szCs w:val="20"/>
      <w:u w:val="none"/>
      <w:vertAlign w:val="superscript"/>
    </w:rPr>
  </w:style>
  <w:style w:type="character" w:customStyle="1" w:styleId="69">
    <w:name w:val="font12"/>
    <w:basedOn w:val="22"/>
    <w:qFormat/>
    <w:uiPriority w:val="0"/>
    <w:rPr>
      <w:rFonts w:hint="eastAsia" w:ascii="宋体" w:hAnsi="宋体" w:eastAsia="宋体" w:cs="宋体"/>
      <w:color w:val="000000"/>
      <w:sz w:val="20"/>
      <w:szCs w:val="20"/>
      <w:u w:val="none"/>
    </w:rPr>
  </w:style>
  <w:style w:type="paragraph" w:customStyle="1" w:styleId="70">
    <w:name w:val="font0"/>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 w:val="20"/>
      <w:szCs w:val="20"/>
    </w:rPr>
  </w:style>
  <w:style w:type="paragraph" w:customStyle="1" w:styleId="71">
    <w:name w:val="font1"/>
    <w:basedOn w:val="1"/>
    <w:qFormat/>
    <w:uiPriority w:val="0"/>
    <w:pPr>
      <w:widowControl/>
      <w:spacing w:before="100" w:beforeAutospacing="1" w:after="100" w:afterAutospacing="1"/>
      <w:jc w:val="left"/>
    </w:pPr>
    <w:rPr>
      <w:rFonts w:ascii="等线" w:hAnsi="等线" w:eastAsia="等线" w:cs="宋体"/>
      <w:b/>
      <w:bCs/>
      <w:color w:val="000000"/>
      <w:kern w:val="0"/>
      <w:sz w:val="20"/>
      <w:szCs w:val="20"/>
    </w:rPr>
  </w:style>
  <w:style w:type="paragraph" w:customStyle="1" w:styleId="72">
    <w:name w:val="font2"/>
    <w:basedOn w:val="1"/>
    <w:qFormat/>
    <w:uiPriority w:val="0"/>
    <w:pPr>
      <w:widowControl/>
      <w:spacing w:before="100" w:beforeAutospacing="1" w:after="100" w:afterAutospacing="1"/>
      <w:jc w:val="left"/>
    </w:pPr>
    <w:rPr>
      <w:rFonts w:ascii="宋体" w:hAnsi="宋体" w:eastAsia="宋体" w:cs="宋体"/>
      <w:color w:val="FF0000"/>
      <w:kern w:val="0"/>
      <w:sz w:val="24"/>
      <w:szCs w:val="24"/>
    </w:rPr>
  </w:style>
  <w:style w:type="paragraph" w:customStyle="1" w:styleId="73">
    <w:name w:val="font3"/>
    <w:basedOn w:val="1"/>
    <w:qFormat/>
    <w:uiPriority w:val="0"/>
    <w:pPr>
      <w:widowControl/>
      <w:spacing w:before="100" w:beforeAutospacing="1" w:after="100" w:afterAutospacing="1"/>
      <w:jc w:val="left"/>
    </w:pPr>
    <w:rPr>
      <w:rFonts w:ascii="宋体" w:hAnsi="宋体" w:eastAsia="宋体" w:cs="宋体"/>
      <w:b/>
      <w:bCs/>
      <w:color w:val="000000"/>
      <w:kern w:val="0"/>
      <w:sz w:val="20"/>
      <w:szCs w:val="20"/>
    </w:rPr>
  </w:style>
  <w:style w:type="paragraph" w:customStyle="1" w:styleId="74">
    <w:name w:val="font4"/>
    <w:basedOn w:val="1"/>
    <w:qFormat/>
    <w:uiPriority w:val="0"/>
    <w:pPr>
      <w:widowControl/>
      <w:spacing w:before="100" w:beforeAutospacing="1" w:after="100" w:afterAutospacing="1"/>
      <w:jc w:val="left"/>
    </w:pPr>
    <w:rPr>
      <w:rFonts w:ascii="宋体" w:hAnsi="宋体" w:eastAsia="宋体" w:cs="宋体"/>
      <w:color w:val="000000"/>
      <w:kern w:val="0"/>
      <w:sz w:val="24"/>
      <w:szCs w:val="24"/>
    </w:rPr>
  </w:style>
  <w:style w:type="paragraph" w:customStyle="1" w:styleId="75">
    <w:name w:val="et2"/>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6">
    <w:name w:val="et3"/>
    <w:basedOn w:val="1"/>
    <w:qFormat/>
    <w:uiPriority w:val="0"/>
    <w:pPr>
      <w:widowControl/>
      <w:spacing w:before="100" w:beforeAutospacing="1" w:after="100" w:afterAutospacing="1"/>
      <w:jc w:val="left"/>
    </w:pPr>
    <w:rPr>
      <w:rFonts w:ascii="宋体" w:hAnsi="宋体" w:eastAsia="宋体" w:cs="宋体"/>
      <w:color w:val="000000"/>
      <w:kern w:val="0"/>
      <w:sz w:val="24"/>
      <w:szCs w:val="24"/>
    </w:rPr>
  </w:style>
  <w:style w:type="paragraph" w:customStyle="1" w:styleId="77">
    <w:name w:val="et4"/>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78">
    <w:name w:val="et5"/>
    <w:basedOn w:val="1"/>
    <w:qFormat/>
    <w:uiPriority w:val="0"/>
    <w:pPr>
      <w:widowControl/>
      <w:spacing w:before="100" w:beforeAutospacing="1" w:after="100" w:afterAutospacing="1"/>
      <w:jc w:val="center"/>
    </w:pPr>
    <w:rPr>
      <w:rFonts w:ascii="宋体" w:hAnsi="宋体" w:eastAsia="宋体" w:cs="宋体"/>
      <w:kern w:val="0"/>
      <w:sz w:val="24"/>
      <w:szCs w:val="24"/>
    </w:rPr>
  </w:style>
  <w:style w:type="paragraph" w:customStyle="1" w:styleId="79">
    <w:name w:val="et6"/>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0">
    <w:name w:val="et7"/>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b/>
      <w:bCs/>
      <w:color w:val="000000"/>
      <w:kern w:val="0"/>
      <w:sz w:val="20"/>
      <w:szCs w:val="20"/>
    </w:rPr>
  </w:style>
  <w:style w:type="paragraph" w:customStyle="1" w:styleId="81">
    <w:name w:val="et9"/>
    <w:basedOn w:val="1"/>
    <w:qFormat/>
    <w:uiPriority w:val="0"/>
    <w:pPr>
      <w:widowControl/>
      <w:pBdr>
        <w:top w:val="single" w:color="BFBFBF" w:sz="4" w:space="0"/>
        <w:left w:val="single" w:color="BFBFBF" w:sz="4" w:space="0"/>
        <w:right w:val="single" w:color="BFBFBF"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2">
    <w:name w:val="et10"/>
    <w:basedOn w:val="1"/>
    <w:qFormat/>
    <w:uiPriority w:val="0"/>
    <w:pPr>
      <w:widowControl/>
      <w:pBdr>
        <w:left w:val="single" w:color="BFBFBF" w:sz="4" w:space="0"/>
        <w:right w:val="single" w:color="BFBFBF"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3">
    <w:name w:val="et11"/>
    <w:basedOn w:val="1"/>
    <w:qFormat/>
    <w:uiPriority w:val="0"/>
    <w:pPr>
      <w:widowControl/>
      <w:pBdr>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4">
    <w:name w:val="et12"/>
    <w:basedOn w:val="1"/>
    <w:qFormat/>
    <w:uiPriority w:val="0"/>
    <w:pPr>
      <w:widowControl/>
      <w:pBdr>
        <w:top w:val="single" w:color="BFBFBF" w:sz="4" w:space="0"/>
        <w:left w:val="single" w:color="BFBFBF" w:sz="4" w:space="0"/>
        <w:bottom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FF0000"/>
      <w:kern w:val="0"/>
      <w:sz w:val="24"/>
      <w:szCs w:val="24"/>
    </w:rPr>
  </w:style>
  <w:style w:type="paragraph" w:customStyle="1" w:styleId="85">
    <w:name w:val="et13"/>
    <w:basedOn w:val="1"/>
    <w:qFormat/>
    <w:uiPriority w:val="0"/>
    <w:pPr>
      <w:widowControl/>
      <w:pBdr>
        <w:top w:val="single" w:color="BFBFBF" w:sz="4" w:space="0"/>
        <w:left w:val="single" w:color="BFBFBF" w:sz="4" w:space="0"/>
        <w:bottom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6">
    <w:name w:val="et14"/>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7">
    <w:name w:val="et16"/>
    <w:basedOn w:val="1"/>
    <w:qFormat/>
    <w:uiPriority w:val="0"/>
    <w:pPr>
      <w:widowControl/>
      <w:pBdr>
        <w:top w:val="single" w:color="BFBFBF" w:sz="4" w:space="0"/>
        <w:left w:val="single" w:color="BFBFBF" w:sz="4" w:space="0"/>
        <w:bottom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8">
    <w:name w:val="et17"/>
    <w:basedOn w:val="1"/>
    <w:qFormat/>
    <w:uiPriority w:val="0"/>
    <w:pPr>
      <w:widowControl/>
      <w:pBdr>
        <w:top w:val="single" w:color="BFBFBF" w:sz="4" w:space="0"/>
        <w:left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89">
    <w:name w:val="et18"/>
    <w:basedOn w:val="1"/>
    <w:qFormat/>
    <w:uiPriority w:val="0"/>
    <w:pPr>
      <w:widowControl/>
      <w:pBdr>
        <w:left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90">
    <w:name w:val="et19"/>
    <w:basedOn w:val="1"/>
    <w:qFormat/>
    <w:uiPriority w:val="0"/>
    <w:pPr>
      <w:widowControl/>
      <w:pBdr>
        <w:left w:val="single" w:color="BFBFBF" w:sz="4" w:space="0"/>
        <w:bottom w:val="single" w:color="BFBFBF" w:sz="4" w:space="0"/>
        <w:right w:val="single" w:color="BFBFBF" w:sz="4" w:space="0"/>
      </w:pBdr>
      <w:shd w:val="clear" w:color="auto" w:fill="FFFF00"/>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91">
    <w:name w:val="et20"/>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92">
    <w:name w:val="et21"/>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color w:val="FF0000"/>
      <w:kern w:val="0"/>
      <w:sz w:val="24"/>
      <w:szCs w:val="24"/>
    </w:rPr>
  </w:style>
  <w:style w:type="paragraph" w:customStyle="1" w:styleId="93">
    <w:name w:val="et22"/>
    <w:basedOn w:val="1"/>
    <w:qFormat/>
    <w:uiPriority w:val="0"/>
    <w:pPr>
      <w:widowControl/>
      <w:pBdr>
        <w:top w:val="single" w:color="BFBFBF" w:sz="4" w:space="0"/>
        <w:left w:val="single" w:color="BFBFBF" w:sz="4" w:space="0"/>
        <w:bottom w:val="single" w:color="BFBFBF" w:sz="4" w:space="0"/>
        <w:right w:val="single" w:color="BFBFBF" w:sz="4" w:space="0"/>
      </w:pBdr>
      <w:spacing w:before="100" w:beforeAutospacing="1" w:after="100" w:afterAutospacing="1"/>
      <w:jc w:val="center"/>
      <w:textAlignment w:val="center"/>
    </w:pPr>
    <w:rPr>
      <w:rFonts w:ascii="宋体" w:hAnsi="宋体" w:eastAsia="宋体" w:cs="宋体"/>
      <w:b/>
      <w:bCs/>
      <w:kern w:val="0"/>
      <w:sz w:val="20"/>
      <w:szCs w:val="20"/>
    </w:rPr>
  </w:style>
  <w:style w:type="character" w:customStyle="1" w:styleId="94">
    <w:name w:val="批注文字 字符"/>
    <w:basedOn w:val="22"/>
    <w:link w:val="8"/>
    <w:semiHidden/>
    <w:qFormat/>
    <w:uiPriority w:val="99"/>
    <w:rPr>
      <w:rFonts w:asciiTheme="minorHAnsi" w:hAnsiTheme="minorHAnsi" w:eastAsiaTheme="minorEastAsia" w:cstheme="minorBidi"/>
      <w:kern w:val="2"/>
      <w:sz w:val="21"/>
      <w:szCs w:val="22"/>
    </w:rPr>
  </w:style>
  <w:style w:type="character" w:customStyle="1" w:styleId="95">
    <w:name w:val="批注主题 字符"/>
    <w:basedOn w:val="94"/>
    <w:link w:val="18"/>
    <w:semiHidden/>
    <w:qFormat/>
    <w:uiPriority w:val="99"/>
    <w:rPr>
      <w:rFonts w:asciiTheme="minorHAnsi" w:hAnsiTheme="minorHAnsi" w:eastAsiaTheme="minorEastAsia" w:cstheme="minorBidi"/>
      <w:b/>
      <w:bCs/>
      <w:kern w:val="2"/>
      <w:sz w:val="21"/>
      <w:szCs w:val="22"/>
    </w:rPr>
  </w:style>
  <w:style w:type="paragraph" w:customStyle="1" w:styleId="96">
    <w:name w:val="Table Paragraph"/>
    <w:basedOn w:val="1"/>
    <w:qFormat/>
    <w:uiPriority w:val="1"/>
    <w:pPr>
      <w:jc w:val="center"/>
    </w:pPr>
    <w:rPr>
      <w:rFonts w:ascii="Times New Roman" w:hAnsi="Times New Roman" w:eastAsia="Times New Roman" w:cs="Times New Roman"/>
      <w:lang w:val="zh-CN" w:bidi="zh-CN"/>
    </w:rPr>
  </w:style>
  <w:style w:type="paragraph" w:customStyle="1" w:styleId="97">
    <w:name w:val="Body text|1"/>
    <w:basedOn w:val="1"/>
    <w:qFormat/>
    <w:uiPriority w:val="0"/>
    <w:pPr>
      <w:widowControl w:val="0"/>
      <w:shd w:val="clear" w:color="auto" w:fill="auto"/>
      <w:spacing w:line="480" w:lineRule="auto"/>
      <w:ind w:firstLine="400"/>
    </w:pPr>
    <w:rPr>
      <w:rFonts w:ascii="宋体" w:hAnsi="宋体" w:eastAsia="宋体" w:cs="宋体"/>
      <w:u w:val="none"/>
      <w:shd w:val="clear" w:color="auto" w:fill="auto"/>
      <w:lang w:val="zh-TW" w:eastAsia="zh-TW" w:bidi="zh-TW"/>
    </w:rPr>
  </w:style>
  <w:style w:type="paragraph" w:customStyle="1" w:styleId="98">
    <w:name w:val="WPSOffice手动目录 1"/>
    <w:qFormat/>
    <w:uiPriority w:val="0"/>
    <w:pPr>
      <w:ind w:leftChars="0"/>
    </w:pPr>
    <w:rPr>
      <w:rFonts w:ascii="Times New Roman" w:hAnsi="Times New Roman" w:eastAsia="宋体" w:cs="Times New Roman"/>
      <w:sz w:val="20"/>
      <w:szCs w:val="20"/>
    </w:rPr>
  </w:style>
  <w:style w:type="paragraph" w:customStyle="1" w:styleId="99">
    <w:name w:val="WPSOffice手动目录 2"/>
    <w:qFormat/>
    <w:uiPriority w:val="0"/>
    <w:pPr>
      <w:ind w:leftChars="200"/>
    </w:pPr>
    <w:rPr>
      <w:rFonts w:ascii="Times New Roman" w:hAnsi="Times New Roman" w:eastAsia="宋体" w:cs="Times New Roman"/>
      <w:sz w:val="20"/>
      <w:szCs w:val="20"/>
    </w:rPr>
  </w:style>
  <w:style w:type="paragraph" w:customStyle="1" w:styleId="100">
    <w:name w:val="WPSOffice手动目录 3"/>
    <w:qFormat/>
    <w:uiPriority w:val="0"/>
    <w:pPr>
      <w:ind w:leftChars="400"/>
    </w:pPr>
    <w:rPr>
      <w:rFonts w:ascii="Times New Roman" w:hAnsi="Times New Roman" w:eastAsia="宋体" w:cs="Times New Roman"/>
      <w:sz w:val="20"/>
      <w:szCs w:val="20"/>
    </w:rPr>
  </w:style>
  <w:style w:type="paragraph" w:customStyle="1" w:styleId="101">
    <w:name w:val="Table caption|1"/>
    <w:basedOn w:val="1"/>
    <w:qFormat/>
    <w:uiPriority w:val="0"/>
    <w:pPr>
      <w:widowControl w:val="0"/>
      <w:shd w:val="clear" w:color="auto" w:fill="auto"/>
    </w:pPr>
    <w:rPr>
      <w:rFonts w:ascii="宋体" w:hAnsi="宋体" w:eastAsia="宋体" w:cs="宋体"/>
      <w:sz w:val="22"/>
      <w:szCs w:val="22"/>
      <w:u w:val="none"/>
      <w:shd w:val="clear" w:color="auto" w:fill="auto"/>
      <w:lang w:val="zh-TW" w:eastAsia="zh-TW" w:bidi="zh-TW"/>
    </w:rPr>
  </w:style>
  <w:style w:type="paragraph" w:customStyle="1" w:styleId="102">
    <w:name w:val="Other|1"/>
    <w:basedOn w:val="1"/>
    <w:qFormat/>
    <w:uiPriority w:val="0"/>
    <w:pPr>
      <w:widowControl w:val="0"/>
      <w:shd w:val="clear" w:color="auto" w:fill="auto"/>
    </w:pPr>
    <w:rPr>
      <w:rFonts w:ascii="宋体" w:hAnsi="宋体" w:eastAsia="宋体" w:cs="宋体"/>
      <w:sz w:val="18"/>
      <w:szCs w:val="18"/>
      <w:u w:val="none"/>
      <w:shd w:val="clear" w:color="auto" w:fill="auto"/>
      <w:lang w:val="zh-TW" w:eastAsia="zh-TW" w:bidi="zh-TW"/>
    </w:rPr>
  </w:style>
  <w:style w:type="paragraph" w:customStyle="1" w:styleId="103">
    <w:name w:val="Body text|2"/>
    <w:basedOn w:val="1"/>
    <w:qFormat/>
    <w:uiPriority w:val="0"/>
    <w:pPr>
      <w:widowControl w:val="0"/>
      <w:shd w:val="clear" w:color="auto" w:fill="auto"/>
      <w:spacing w:line="463" w:lineRule="exact"/>
    </w:pPr>
    <w:rPr>
      <w:b/>
      <w:bCs/>
      <w:u w:val="none"/>
      <w:shd w:val="clear" w:color="auto" w:fill="auto"/>
    </w:rPr>
  </w:style>
  <w:style w:type="paragraph" w:customStyle="1" w:styleId="104">
    <w:name w:val="Body text|3"/>
    <w:basedOn w:val="1"/>
    <w:qFormat/>
    <w:uiPriority w:val="0"/>
    <w:pPr>
      <w:widowControl w:val="0"/>
      <w:shd w:val="clear" w:color="auto" w:fill="auto"/>
      <w:spacing w:after="120" w:line="457" w:lineRule="exact"/>
      <w:jc w:val="center"/>
    </w:pPr>
    <w:rPr>
      <w:rFonts w:ascii="宋体" w:hAnsi="宋体" w:eastAsia="宋体" w:cs="宋体"/>
      <w:sz w:val="18"/>
      <w:szCs w:val="18"/>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chart" Target="charts/chart2.xml"/><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chart" Target="charts/chart1.xml"/><Relationship Id="rId5" Type="http://schemas.openxmlformats.org/officeDocument/2006/relationships/image" Target="media/image1.png"/><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theme" Target="theme/theme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emf"/><Relationship Id="rId3" Type="http://schemas.openxmlformats.org/officeDocument/2006/relationships/footer" Target="footer1.xml"/><Relationship Id="rId29" Type="http://schemas.openxmlformats.org/officeDocument/2006/relationships/oleObject" Target="embeddings/oleObject3.bin"/><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emf"/><Relationship Id="rId24" Type="http://schemas.openxmlformats.org/officeDocument/2006/relationships/oleObject" Target="embeddings/oleObject2.bin"/><Relationship Id="rId23" Type="http://schemas.openxmlformats.org/officeDocument/2006/relationships/image" Target="media/image15.emf"/><Relationship Id="rId22" Type="http://schemas.openxmlformats.org/officeDocument/2006/relationships/oleObject" Target="embeddings/oleObject1.bin"/><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chart" Target="charts/chart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24037;&#20316;&#31807;2"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24037;&#20316;&#31807;2"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dell\Desktop\&#24037;&#20316;&#318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pieChart>
        <c:varyColors val="true"/>
        <c:ser>
          <c:idx val="0"/>
          <c:order val="0"/>
          <c:spPr/>
          <c:explosion val="0"/>
          <c:dPt>
            <c:idx val="0"/>
            <c:bubble3D val="false"/>
            <c:spPr>
              <a:solidFill>
                <a:schemeClr val="accent1"/>
              </a:solidFill>
              <a:ln w="19050">
                <a:solidFill>
                  <a:schemeClr val="lt1"/>
                </a:solidFill>
              </a:ln>
              <a:effectLst/>
            </c:spPr>
          </c:dPt>
          <c:dPt>
            <c:idx val="1"/>
            <c:bubble3D val="false"/>
            <c:spPr>
              <a:solidFill>
                <a:schemeClr val="accent2"/>
              </a:solidFill>
              <a:ln w="19050">
                <a:solidFill>
                  <a:schemeClr val="lt1"/>
                </a:solidFill>
              </a:ln>
              <a:effectLst/>
            </c:spPr>
          </c:dPt>
          <c:dPt>
            <c:idx val="2"/>
            <c:bubble3D val="false"/>
            <c:spPr>
              <a:solidFill>
                <a:schemeClr val="accent3"/>
              </a:solidFill>
              <a:ln w="19050">
                <a:solidFill>
                  <a:schemeClr val="lt1"/>
                </a:solidFill>
              </a:ln>
              <a:effectLst/>
            </c:spPr>
          </c:dPt>
          <c:dPt>
            <c:idx val="3"/>
            <c:bubble3D val="false"/>
            <c:spPr>
              <a:solidFill>
                <a:schemeClr val="accent4"/>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true"/>
              <a:lstStyle/>
              <a:p>
                <a:pPr>
                  <a:defRPr lang="zh-CN" sz="1100" b="0" i="0" u="none" strike="noStrike" kern="1200" baseline="0">
                    <a:solidFill>
                      <a:schemeClr val="tx1">
                        <a:lumMod val="75000"/>
                        <a:lumOff val="25000"/>
                      </a:schemeClr>
                    </a:solidFill>
                    <a:latin typeface="Times New Roman" charset="0"/>
                    <a:ea typeface="Times New Roman" charset="0"/>
                    <a:cs typeface="Times New Roman" charset="0"/>
                    <a:sym typeface="Times New Roman" charset="0"/>
                  </a:defRPr>
                </a:pPr>
              </a:p>
            </c:txPr>
            <c:dLblPos val="bestFit"/>
            <c:showLegendKey val="false"/>
            <c:showVal val="true"/>
            <c:showCatName val="false"/>
            <c:showSerName val="false"/>
            <c:showPercent val="false"/>
            <c:showBubbleSize val="false"/>
            <c:showLeaderLines val="tru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strRef>
              <c:f>[工作簿2]Sheet1!$AE$30:$AE$33</c:f>
              <c:strCache>
                <c:ptCount val="4"/>
                <c:pt idx="0">
                  <c:v>建设设施</c:v>
                </c:pt>
                <c:pt idx="1">
                  <c:v>纳厂</c:v>
                </c:pt>
                <c:pt idx="2">
                  <c:v>资源化利用</c:v>
                </c:pt>
                <c:pt idx="3">
                  <c:v>未开展治理</c:v>
                </c:pt>
              </c:strCache>
            </c:strRef>
          </c:cat>
          <c:val>
            <c:numRef>
              <c:f>[工作簿2]Sheet1!$AF$30:$AF$33</c:f>
              <c:numCache>
                <c:formatCode>0.00%</c:formatCode>
                <c:ptCount val="4"/>
                <c:pt idx="0">
                  <c:v>0.481012658227848</c:v>
                </c:pt>
                <c:pt idx="1">
                  <c:v>0.335443037974684</c:v>
                </c:pt>
                <c:pt idx="2">
                  <c:v>0.0632911392405063</c:v>
                </c:pt>
                <c:pt idx="3">
                  <c:v>0.120253164556962</c:v>
                </c:pt>
              </c:numCache>
            </c:numRef>
          </c:val>
        </c:ser>
        <c:dLbls>
          <c:showLegendKey val="false"/>
          <c:showVal val="true"/>
          <c:showCatName val="false"/>
          <c:showSerName val="false"/>
          <c:showPercent val="false"/>
          <c:showBubbleSize val="false"/>
          <c:showLeaderLines val="true"/>
        </c:dLbls>
        <c:firstSliceAng val="0"/>
      </c:pieChart>
      <c:spPr>
        <a:noFill/>
        <a:ln>
          <a:noFill/>
        </a:ln>
        <a:effectLst/>
      </c:spPr>
    </c:plotArea>
    <c:legend>
      <c:legendPos val="b"/>
      <c:layout/>
      <c:overlay val="false"/>
      <c:spPr>
        <a:noFill/>
        <a:ln>
          <a:noFill/>
        </a:ln>
        <a:effectLst/>
      </c:spPr>
      <c:txPr>
        <a:bodyPr rot="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barChart>
        <c:barDir val="col"/>
        <c:grouping val="clustered"/>
        <c:varyColors val="false"/>
        <c:ser>
          <c:idx val="0"/>
          <c:order val="0"/>
          <c:tx>
            <c:strRef>
              <c:f>[工作簿2]Sheet1!$AE$185</c:f>
              <c:strCache>
                <c:ptCount val="1"/>
                <c:pt idx="0">
                  <c:v>自然村数量</c:v>
                </c:pt>
              </c:strCache>
            </c:strRef>
          </c:tx>
          <c:spPr>
            <a:solidFill>
              <a:schemeClr val="accent1"/>
            </a:solidFill>
            <a:ln>
              <a:noFill/>
            </a:ln>
            <a:effectLst/>
          </c:spPr>
          <c:invertIfNegative val="false"/>
          <c:dLbls>
            <c:delete val="true"/>
          </c:dLbls>
          <c:cat>
            <c:strRef>
              <c:f>[工作簿2]Sheet1!$AD$186:$AD$192</c:f>
              <c:strCache>
                <c:ptCount val="7"/>
                <c:pt idx="0">
                  <c:v>捷胜镇</c:v>
                </c:pt>
                <c:pt idx="1">
                  <c:v>新港街道</c:v>
                </c:pt>
                <c:pt idx="2">
                  <c:v>香洲街道</c:v>
                </c:pt>
                <c:pt idx="3">
                  <c:v>马宫街道</c:v>
                </c:pt>
                <c:pt idx="4">
                  <c:v>东涌镇</c:v>
                </c:pt>
                <c:pt idx="5">
                  <c:v>红草镇</c:v>
                </c:pt>
                <c:pt idx="6">
                  <c:v>凤山街道</c:v>
                </c:pt>
              </c:strCache>
            </c:strRef>
          </c:cat>
          <c:val>
            <c:numRef>
              <c:f>[工作簿2]Sheet1!$AE$186:$AE$192</c:f>
              <c:numCache>
                <c:formatCode>General</c:formatCode>
                <c:ptCount val="7"/>
                <c:pt idx="0">
                  <c:v>27</c:v>
                </c:pt>
                <c:pt idx="1">
                  <c:v>7</c:v>
                </c:pt>
                <c:pt idx="2">
                  <c:v>2</c:v>
                </c:pt>
                <c:pt idx="3">
                  <c:v>23</c:v>
                </c:pt>
                <c:pt idx="4">
                  <c:v>40</c:v>
                </c:pt>
                <c:pt idx="5">
                  <c:v>55</c:v>
                </c:pt>
                <c:pt idx="6">
                  <c:v>4</c:v>
                </c:pt>
              </c:numCache>
            </c:numRef>
          </c:val>
        </c:ser>
        <c:ser>
          <c:idx val="1"/>
          <c:order val="1"/>
          <c:tx>
            <c:strRef>
              <c:f>[工作簿2]Sheet1!$AF$185</c:f>
              <c:strCache>
                <c:ptCount val="1"/>
                <c:pt idx="0">
                  <c:v>已开展治理的自然村数量</c:v>
                </c:pt>
              </c:strCache>
            </c:strRef>
          </c:tx>
          <c:spPr>
            <a:solidFill>
              <a:schemeClr val="accent2"/>
            </a:solidFill>
            <a:ln>
              <a:noFill/>
            </a:ln>
            <a:effectLst/>
          </c:spPr>
          <c:invertIfNegative val="false"/>
          <c:dLbls>
            <c:delete val="true"/>
          </c:dLbls>
          <c:cat>
            <c:strRef>
              <c:f>[工作簿2]Sheet1!$AD$186:$AD$192</c:f>
              <c:strCache>
                <c:ptCount val="7"/>
                <c:pt idx="0">
                  <c:v>捷胜镇</c:v>
                </c:pt>
                <c:pt idx="1">
                  <c:v>新港街道</c:v>
                </c:pt>
                <c:pt idx="2">
                  <c:v>香洲街道</c:v>
                </c:pt>
                <c:pt idx="3">
                  <c:v>马宫街道</c:v>
                </c:pt>
                <c:pt idx="4">
                  <c:v>东涌镇</c:v>
                </c:pt>
                <c:pt idx="5">
                  <c:v>红草镇</c:v>
                </c:pt>
                <c:pt idx="6">
                  <c:v>凤山街道</c:v>
                </c:pt>
              </c:strCache>
            </c:strRef>
          </c:cat>
          <c:val>
            <c:numRef>
              <c:f>[工作簿2]Sheet1!$AF$186:$AF$192</c:f>
              <c:numCache>
                <c:formatCode>General</c:formatCode>
                <c:ptCount val="7"/>
                <c:pt idx="0">
                  <c:v>27</c:v>
                </c:pt>
                <c:pt idx="1">
                  <c:v>7</c:v>
                </c:pt>
                <c:pt idx="2">
                  <c:v>2</c:v>
                </c:pt>
                <c:pt idx="3">
                  <c:v>22</c:v>
                </c:pt>
                <c:pt idx="4">
                  <c:v>35</c:v>
                </c:pt>
                <c:pt idx="5">
                  <c:v>43</c:v>
                </c:pt>
                <c:pt idx="6">
                  <c:v>3</c:v>
                </c:pt>
              </c:numCache>
            </c:numRef>
          </c:val>
        </c:ser>
        <c:dLbls>
          <c:showLegendKey val="false"/>
          <c:showVal val="false"/>
          <c:showCatName val="false"/>
          <c:showSerName val="false"/>
          <c:showPercent val="false"/>
          <c:showBubbleSize val="false"/>
        </c:dLbls>
        <c:gapWidth val="219"/>
        <c:overlap val="-27"/>
        <c:axId val="766871700"/>
        <c:axId val="170025947"/>
      </c:barChart>
      <c:lineChart>
        <c:grouping val="standard"/>
        <c:varyColors val="false"/>
        <c:ser>
          <c:idx val="2"/>
          <c:order val="2"/>
          <c:tx>
            <c:strRef>
              <c:f>[工作簿2]Sheet1!$AG$185</c:f>
              <c:strCache>
                <c:ptCount val="1"/>
                <c:pt idx="0">
                  <c:v>开展治理的自然村占比</c:v>
                </c:pt>
              </c:strCache>
            </c:strRef>
          </c:tx>
          <c:spPr>
            <a:ln w="28575" cap="rnd">
              <a:solidFill>
                <a:schemeClr val="accent3"/>
              </a:solidFill>
              <a:round/>
            </a:ln>
            <a:effectLst/>
          </c:spPr>
          <c:marker>
            <c:symbol val="none"/>
          </c:marker>
          <c:dLbls>
            <c:delete val="true"/>
          </c:dLbls>
          <c:cat>
            <c:strRef>
              <c:f>[工作簿2]Sheet1!$AD$186:$AD$192</c:f>
              <c:strCache>
                <c:ptCount val="7"/>
                <c:pt idx="0">
                  <c:v>捷胜镇</c:v>
                </c:pt>
                <c:pt idx="1">
                  <c:v>新港街道</c:v>
                </c:pt>
                <c:pt idx="2">
                  <c:v>香洲街道</c:v>
                </c:pt>
                <c:pt idx="3">
                  <c:v>马宫街道</c:v>
                </c:pt>
                <c:pt idx="4">
                  <c:v>东涌镇</c:v>
                </c:pt>
                <c:pt idx="5">
                  <c:v>红草镇</c:v>
                </c:pt>
                <c:pt idx="6">
                  <c:v>凤山街道</c:v>
                </c:pt>
              </c:strCache>
            </c:strRef>
          </c:cat>
          <c:val>
            <c:numRef>
              <c:f>[工作簿2]Sheet1!$AG$186:$AG$192</c:f>
              <c:numCache>
                <c:formatCode>0.00%</c:formatCode>
                <c:ptCount val="7"/>
                <c:pt idx="0">
                  <c:v>1</c:v>
                </c:pt>
                <c:pt idx="1">
                  <c:v>1</c:v>
                </c:pt>
                <c:pt idx="2">
                  <c:v>1</c:v>
                </c:pt>
                <c:pt idx="3">
                  <c:v>0.956521739130435</c:v>
                </c:pt>
                <c:pt idx="4">
                  <c:v>0.875</c:v>
                </c:pt>
                <c:pt idx="5">
                  <c:v>0.781818181818182</c:v>
                </c:pt>
                <c:pt idx="6">
                  <c:v>0.75</c:v>
                </c:pt>
              </c:numCache>
            </c:numRef>
          </c:val>
          <c:smooth val="false"/>
        </c:ser>
        <c:dLbls>
          <c:showLegendKey val="false"/>
          <c:showVal val="false"/>
          <c:showCatName val="false"/>
          <c:showSerName val="false"/>
          <c:showPercent val="false"/>
          <c:showBubbleSize val="false"/>
        </c:dLbls>
        <c:marker val="false"/>
        <c:smooth val="false"/>
        <c:axId val="192174204"/>
        <c:axId val="471132984"/>
      </c:lineChart>
      <c:catAx>
        <c:axId val="766871700"/>
        <c:scaling>
          <c:orientation val="minMax"/>
        </c:scaling>
        <c:delete val="false"/>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170025947"/>
        <c:crosses val="autoZero"/>
        <c:auto val="true"/>
        <c:lblAlgn val="ctr"/>
        <c:lblOffset val="100"/>
        <c:noMultiLvlLbl val="false"/>
      </c:catAx>
      <c:valAx>
        <c:axId val="170025947"/>
        <c:scaling>
          <c:orientation val="minMax"/>
        </c:scaling>
        <c:delete val="false"/>
        <c:axPos val="l"/>
        <c:majorGridlines>
          <c:spPr>
            <a:ln w="9525" cap="flat" cmpd="sng" algn="ctr">
              <a:solidFill>
                <a:schemeClr val="tx1">
                  <a:lumMod val="15000"/>
                  <a:lumOff val="85000"/>
                </a:schemeClr>
              </a:solidFill>
              <a:round/>
            </a:ln>
            <a:effectLst/>
          </c:spPr>
        </c:majorGridlines>
        <c:numFmt formatCode="General" sourceLinked="true"/>
        <c:majorTickMark val="none"/>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766871700"/>
        <c:crosses val="autoZero"/>
        <c:crossBetween val="between"/>
      </c:valAx>
      <c:catAx>
        <c:axId val="192174204"/>
        <c:scaling>
          <c:orientation val="minMax"/>
        </c:scaling>
        <c:delete val="true"/>
        <c:axPos val="b"/>
        <c:majorTickMark val="out"/>
        <c:minorTickMark val="none"/>
        <c:tickLblPos val="nextTo"/>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471132984"/>
        <c:crosses val="autoZero"/>
        <c:auto val="true"/>
        <c:lblAlgn val="ctr"/>
        <c:lblOffset val="100"/>
        <c:noMultiLvlLbl val="false"/>
      </c:catAx>
      <c:valAx>
        <c:axId val="471132984"/>
        <c:scaling>
          <c:orientation val="minMax"/>
        </c:scaling>
        <c:delete val="false"/>
        <c:axPos val="r"/>
        <c:numFmt formatCode="0.00%" sourceLinked="true"/>
        <c:majorTickMark val="out"/>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192174204"/>
        <c:crosses val="max"/>
        <c:crossBetween val="between"/>
      </c:valAx>
      <c:spPr>
        <a:noFill/>
        <a:ln>
          <a:noFill/>
        </a:ln>
        <a:effectLst/>
      </c:spPr>
    </c:plotArea>
    <c:legend>
      <c:legendPos val="b"/>
      <c:layout/>
      <c:overlay val="false"/>
      <c:spPr>
        <a:noFill/>
        <a:ln>
          <a:noFill/>
        </a:ln>
        <a:effectLst/>
      </c:spPr>
      <c:txPr>
        <a:bodyPr rot="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barChart>
        <c:barDir val="col"/>
        <c:grouping val="clustered"/>
        <c:varyColors val="false"/>
        <c:ser>
          <c:idx val="0"/>
          <c:order val="0"/>
          <c:tx>
            <c:strRef>
              <c:f>[工作簿2.xlsx]Sheet1!$AF$201</c:f>
              <c:strCache>
                <c:ptCount val="1"/>
                <c:pt idx="0">
                  <c:v>建设设施占比</c:v>
                </c:pt>
              </c:strCache>
            </c:strRef>
          </c:tx>
          <c:spPr>
            <a:solidFill>
              <a:schemeClr val="accent1"/>
            </a:solidFill>
            <a:ln>
              <a:noFill/>
            </a:ln>
            <a:effectLst/>
          </c:spPr>
          <c:invertIfNegative val="false"/>
          <c:dLbls>
            <c:delete val="true"/>
          </c:dLbls>
          <c:cat>
            <c:strRef>
              <c:f>[工作簿2.xlsx]Sheet1!$AE$202:$AE$208</c:f>
              <c:strCache>
                <c:ptCount val="7"/>
                <c:pt idx="0">
                  <c:v>捷胜镇</c:v>
                </c:pt>
                <c:pt idx="1">
                  <c:v>新港街道</c:v>
                </c:pt>
                <c:pt idx="2">
                  <c:v>香洲街道</c:v>
                </c:pt>
                <c:pt idx="3">
                  <c:v>马宫街道</c:v>
                </c:pt>
                <c:pt idx="4">
                  <c:v>东涌镇</c:v>
                </c:pt>
                <c:pt idx="5">
                  <c:v>红草镇</c:v>
                </c:pt>
                <c:pt idx="6">
                  <c:v>凤山街道</c:v>
                </c:pt>
              </c:strCache>
            </c:strRef>
          </c:cat>
          <c:val>
            <c:numRef>
              <c:f>[工作簿2.xlsx]Sheet1!$AF$202:$AF$208</c:f>
              <c:numCache>
                <c:formatCode>0.00%</c:formatCode>
                <c:ptCount val="7"/>
                <c:pt idx="0">
                  <c:v>0.555555555555556</c:v>
                </c:pt>
                <c:pt idx="1">
                  <c:v>0</c:v>
                </c:pt>
                <c:pt idx="2">
                  <c:v>0</c:v>
                </c:pt>
                <c:pt idx="3">
                  <c:v>0.590909090909091</c:v>
                </c:pt>
                <c:pt idx="4">
                  <c:v>0.8</c:v>
                </c:pt>
                <c:pt idx="5">
                  <c:v>0.418604651162791</c:v>
                </c:pt>
                <c:pt idx="6">
                  <c:v>0.666666666666667</c:v>
                </c:pt>
              </c:numCache>
            </c:numRef>
          </c:val>
        </c:ser>
        <c:ser>
          <c:idx val="1"/>
          <c:order val="1"/>
          <c:tx>
            <c:strRef>
              <c:f>[工作簿2.xlsx]Sheet1!$AG$201</c:f>
              <c:strCache>
                <c:ptCount val="1"/>
                <c:pt idx="0">
                  <c:v>纳厂占比</c:v>
                </c:pt>
              </c:strCache>
            </c:strRef>
          </c:tx>
          <c:spPr>
            <a:solidFill>
              <a:schemeClr val="accent2"/>
            </a:solidFill>
            <a:ln>
              <a:noFill/>
            </a:ln>
            <a:effectLst/>
          </c:spPr>
          <c:invertIfNegative val="false"/>
          <c:dLbls>
            <c:delete val="true"/>
          </c:dLbls>
          <c:cat>
            <c:strRef>
              <c:f>[工作簿2.xlsx]Sheet1!$AE$202:$AE$208</c:f>
              <c:strCache>
                <c:ptCount val="7"/>
                <c:pt idx="0">
                  <c:v>捷胜镇</c:v>
                </c:pt>
                <c:pt idx="1">
                  <c:v>新港街道</c:v>
                </c:pt>
                <c:pt idx="2">
                  <c:v>香洲街道</c:v>
                </c:pt>
                <c:pt idx="3">
                  <c:v>马宫街道</c:v>
                </c:pt>
                <c:pt idx="4">
                  <c:v>东涌镇</c:v>
                </c:pt>
                <c:pt idx="5">
                  <c:v>红草镇</c:v>
                </c:pt>
                <c:pt idx="6">
                  <c:v>凤山街道</c:v>
                </c:pt>
              </c:strCache>
            </c:strRef>
          </c:cat>
          <c:val>
            <c:numRef>
              <c:f>[工作簿2.xlsx]Sheet1!$AG$202:$AG$208</c:f>
              <c:numCache>
                <c:formatCode>0.00%</c:formatCode>
                <c:ptCount val="7"/>
                <c:pt idx="0">
                  <c:v>0.296296296296296</c:v>
                </c:pt>
                <c:pt idx="1">
                  <c:v>0.428571428571429</c:v>
                </c:pt>
                <c:pt idx="2">
                  <c:v>1</c:v>
                </c:pt>
                <c:pt idx="3">
                  <c:v>0.409090909090909</c:v>
                </c:pt>
                <c:pt idx="4">
                  <c:v>0.171428571428571</c:v>
                </c:pt>
                <c:pt idx="5">
                  <c:v>0.558139534883721</c:v>
                </c:pt>
                <c:pt idx="6">
                  <c:v>0.333333333333333</c:v>
                </c:pt>
              </c:numCache>
            </c:numRef>
          </c:val>
        </c:ser>
        <c:ser>
          <c:idx val="2"/>
          <c:order val="2"/>
          <c:tx>
            <c:strRef>
              <c:f>[工作簿2.xlsx]Sheet1!$AH$201</c:f>
              <c:strCache>
                <c:ptCount val="1"/>
                <c:pt idx="0">
                  <c:v>资源化利用占比</c:v>
                </c:pt>
              </c:strCache>
            </c:strRef>
          </c:tx>
          <c:spPr>
            <a:solidFill>
              <a:schemeClr val="accent3"/>
            </a:solidFill>
            <a:ln>
              <a:noFill/>
            </a:ln>
            <a:effectLst/>
          </c:spPr>
          <c:invertIfNegative val="false"/>
          <c:dLbls>
            <c:delete val="true"/>
          </c:dLbls>
          <c:cat>
            <c:strRef>
              <c:f>[工作簿2.xlsx]Sheet1!$AE$202:$AE$208</c:f>
              <c:strCache>
                <c:ptCount val="7"/>
                <c:pt idx="0">
                  <c:v>捷胜镇</c:v>
                </c:pt>
                <c:pt idx="1">
                  <c:v>新港街道</c:v>
                </c:pt>
                <c:pt idx="2">
                  <c:v>香洲街道</c:v>
                </c:pt>
                <c:pt idx="3">
                  <c:v>马宫街道</c:v>
                </c:pt>
                <c:pt idx="4">
                  <c:v>东涌镇</c:v>
                </c:pt>
                <c:pt idx="5">
                  <c:v>红草镇</c:v>
                </c:pt>
                <c:pt idx="6">
                  <c:v>凤山街道</c:v>
                </c:pt>
              </c:strCache>
            </c:strRef>
          </c:cat>
          <c:val>
            <c:numRef>
              <c:f>[工作簿2.xlsx]Sheet1!$AH$202:$AH$208</c:f>
              <c:numCache>
                <c:formatCode>0.00%</c:formatCode>
                <c:ptCount val="7"/>
                <c:pt idx="0">
                  <c:v>0.148148148148148</c:v>
                </c:pt>
                <c:pt idx="1">
                  <c:v>0.571428571428571</c:v>
                </c:pt>
                <c:pt idx="2">
                  <c:v>0</c:v>
                </c:pt>
                <c:pt idx="3">
                  <c:v>0</c:v>
                </c:pt>
                <c:pt idx="4">
                  <c:v>0.0285714285714286</c:v>
                </c:pt>
                <c:pt idx="5">
                  <c:v>0.0232558139534884</c:v>
                </c:pt>
                <c:pt idx="6">
                  <c:v>0</c:v>
                </c:pt>
              </c:numCache>
            </c:numRef>
          </c:val>
        </c:ser>
        <c:dLbls>
          <c:showLegendKey val="false"/>
          <c:showVal val="false"/>
          <c:showCatName val="false"/>
          <c:showSerName val="false"/>
          <c:showPercent val="false"/>
          <c:showBubbleSize val="false"/>
        </c:dLbls>
        <c:gapWidth val="219"/>
        <c:overlap val="-27"/>
        <c:axId val="52192628"/>
        <c:axId val="634077655"/>
      </c:barChart>
      <c:catAx>
        <c:axId val="52192628"/>
        <c:scaling>
          <c:orientation val="minMax"/>
        </c:scaling>
        <c:delete val="false"/>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634077655"/>
        <c:crosses val="autoZero"/>
        <c:auto val="true"/>
        <c:lblAlgn val="ctr"/>
        <c:lblOffset val="100"/>
        <c:noMultiLvlLbl val="false"/>
      </c:catAx>
      <c:valAx>
        <c:axId val="634077655"/>
        <c:scaling>
          <c:orientation val="minMax"/>
        </c:scaling>
        <c:delete val="false"/>
        <c:axPos val="l"/>
        <c:majorGridlines>
          <c:spPr>
            <a:ln w="9525" cap="flat" cmpd="sng" algn="ctr">
              <a:solidFill>
                <a:schemeClr val="tx1">
                  <a:lumMod val="15000"/>
                  <a:lumOff val="85000"/>
                </a:schemeClr>
              </a:solidFill>
              <a:round/>
            </a:ln>
            <a:effectLst/>
          </c:spPr>
        </c:majorGridlines>
        <c:numFmt formatCode="0.00%" sourceLinked="true"/>
        <c:majorTickMark val="none"/>
        <c:minorTickMark val="none"/>
        <c:tickLblPos val="nextTo"/>
        <c:spPr>
          <a:noFill/>
          <a:ln>
            <a:noFill/>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52192628"/>
        <c:crosses val="autoZero"/>
        <c:crossBetween val="between"/>
      </c:valAx>
      <c:spPr>
        <a:noFill/>
        <a:ln>
          <a:noFill/>
        </a:ln>
        <a:effectLst/>
      </c:spPr>
    </c:plotArea>
    <c:legend>
      <c:legendPos val="b"/>
      <c:layout/>
      <c:overlay val="false"/>
      <c:spPr>
        <a:noFill/>
        <a:ln>
          <a:noFill/>
        </a:ln>
        <a:effectLst/>
      </c:spPr>
      <c:txPr>
        <a:bodyPr rot="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115</Pages>
  <Words>48791</Words>
  <Characters>58780</Characters>
  <Lines>133</Lines>
  <Paragraphs>37</Paragraphs>
  <TotalTime>40</TotalTime>
  <ScaleCrop>false</ScaleCrop>
  <LinksUpToDate>false</LinksUpToDate>
  <CharactersWithSpaces>59336</CharactersWithSpaces>
  <Application>WPS Office_11.8.2.9958_F1E327BC-269C-435d-A152-05C5408002CA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2021-08-03T17:28:00Z</dcterms:created>
  <dc:creator>Zhang Meiling</dc:creator>
  <cp:lastModifiedBy>quzfb-3</cp:lastModifiedBy>
  <cp:lastPrinted>2022-06-28T16:24:00Z</cp:lastPrinted>
  <dcterms:modified xsi:type="dcterms:W3CDTF">2022-06-30T20:32:15Z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2052-11.8.2.9958</vt:lpwstr>
  </property>
  <property fmtid="{D5CDD505-2E9C-101B-9397-08002B2CF9AE}" pid="3" name="ICV">
    <vt:lpwstr>56503451F1424515BAD84ECEC896C076</vt:lpwstr>
  </property>
</Properties>
</file>