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汕尾市城区2020年度第二批次城镇建设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用地征收土地补偿安置方案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（后径经济联合社部分）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为实施我市城区土地利用总体规划和城市规划，加快市区发展步伐，按照市政府的工作部署，我局拟对汕尾市城区香洲街道后径经济联合社位于市区香洲街道“狮地山”（土名）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2020年度第二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</w:t>
      </w:r>
      <w:bookmarkStart w:id="0" w:name="_Hlk525208981"/>
      <w:r>
        <w:rPr>
          <w:rFonts w:hint="eastAsia" w:ascii="仿宋_GB2312" w:hAnsi="仿宋_GB2312" w:eastAsia="仿宋_GB2312" w:cs="仿宋_GB2312"/>
          <w:sz w:val="32"/>
          <w:szCs w:val="32"/>
        </w:rPr>
        <w:t>香洲街道“狮地山”(土名)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2320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2320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公顷（园地1.0620公顷、林地4.8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599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公顷、其他农用地0.1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559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公顷，未利用地1.1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542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0984133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根据区片综合地价标准补偿，其中耕地91.6500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，园地91.6500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林地41.2425万元/公顷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养殖水面91.65万元/公顷，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其他农用地91.6500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集体建设用地91.65万元/公顷，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未利用地36.6600万元/公顷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按实际征收土地面积的15%比例安排留用地，留用地折算成货币补偿，补偿标准为1556万元/公顷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D"/>
    <w:rsid w:val="00056D2C"/>
    <w:rsid w:val="001B2007"/>
    <w:rsid w:val="001D2DFD"/>
    <w:rsid w:val="00423652"/>
    <w:rsid w:val="005C484D"/>
    <w:rsid w:val="007463C2"/>
    <w:rsid w:val="009E1EF4"/>
    <w:rsid w:val="00B923A2"/>
    <w:rsid w:val="00C35B1E"/>
    <w:rsid w:val="00C76F3D"/>
    <w:rsid w:val="00D923C5"/>
    <w:rsid w:val="00E3550B"/>
    <w:rsid w:val="03A160E2"/>
    <w:rsid w:val="180D5862"/>
    <w:rsid w:val="21564712"/>
    <w:rsid w:val="344B1294"/>
    <w:rsid w:val="4F9E3B6D"/>
    <w:rsid w:val="68F34E9D"/>
    <w:rsid w:val="744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1385</Characters>
  <Lines>11</Lines>
  <Paragraphs>3</Paragraphs>
  <TotalTime>0</TotalTime>
  <ScaleCrop>false</ScaleCrop>
  <LinksUpToDate>false</LinksUpToDate>
  <CharactersWithSpaces>1624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2021-05-19T09:01:00Z</dcterms:created>
  <dc:creator>PC</dc:creator>
  <cp:lastModifiedBy>Administrator</cp:lastModifiedBy>
  <dcterms:modified xsi:type="dcterms:W3CDTF">2021-08-19T08:41:50Z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